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cs="方正小标宋简体"/>
          <w:sz w:val="44"/>
          <w:szCs w:val="44"/>
        </w:rPr>
      </w:pPr>
      <w:bookmarkStart w:id="0" w:name="_GoBack"/>
      <w:bookmarkEnd w:id="0"/>
      <w:r>
        <w:rPr>
          <w:rFonts w:hint="eastAsia" w:ascii="方正小标宋简体" w:hAnsi="宋体" w:eastAsia="方正小标宋简体" w:cs="方正小标宋简体"/>
          <w:sz w:val="44"/>
          <w:szCs w:val="44"/>
        </w:rPr>
        <w:t>守正创新强内涵</w:t>
      </w:r>
      <w:r>
        <w:rPr>
          <w:rFonts w:ascii="方正小标宋简体" w:hAnsi="宋体" w:eastAsia="方正小标宋简体" w:cs="方正小标宋简体"/>
          <w:sz w:val="44"/>
          <w:szCs w:val="44"/>
        </w:rPr>
        <w:t xml:space="preserve">  </w:t>
      </w:r>
      <w:r>
        <w:rPr>
          <w:rFonts w:hint="eastAsia" w:ascii="方正小标宋简体" w:hAnsi="宋体" w:eastAsia="方正小标宋简体" w:cs="方正小标宋简体"/>
          <w:sz w:val="44"/>
          <w:szCs w:val="44"/>
        </w:rPr>
        <w:t>砥砺奋进促发展</w:t>
      </w:r>
    </w:p>
    <w:p>
      <w:pPr>
        <w:spacing w:line="590" w:lineRule="exact"/>
        <w:jc w:val="center"/>
        <w:rPr>
          <w:rFonts w:ascii="方正小标宋简体" w:hAnsi="宋体" w:eastAsia="方正小标宋简体"/>
          <w:spacing w:val="-12"/>
          <w:sz w:val="44"/>
          <w:szCs w:val="44"/>
        </w:rPr>
      </w:pPr>
      <w:r>
        <w:rPr>
          <w:rFonts w:hint="eastAsia" w:ascii="方正小标宋简体" w:hAnsi="宋体" w:eastAsia="方正小标宋简体" w:cs="方正小标宋简体"/>
          <w:spacing w:val="-12"/>
          <w:sz w:val="44"/>
          <w:szCs w:val="44"/>
        </w:rPr>
        <w:t>为建成高水平特色应用型本科示范高校不懈奋斗</w:t>
      </w:r>
    </w:p>
    <w:p>
      <w:pPr>
        <w:spacing w:line="590" w:lineRule="exact"/>
        <w:jc w:val="center"/>
        <w:rPr>
          <w:rFonts w:ascii="楷体_GB2312" w:hAnsi="楷体" w:eastAsia="楷体_GB2312"/>
          <w:b/>
          <w:bCs/>
          <w:sz w:val="32"/>
          <w:szCs w:val="32"/>
        </w:rPr>
      </w:pPr>
      <w:r>
        <w:rPr>
          <w:rFonts w:ascii="楷体_GB2312" w:hAnsi="楷体" w:eastAsia="楷体_GB2312" w:cs="楷体_GB2312"/>
          <w:b/>
          <w:bCs/>
          <w:sz w:val="32"/>
          <w:szCs w:val="32"/>
        </w:rPr>
        <w:t>——</w:t>
      </w:r>
      <w:r>
        <w:rPr>
          <w:rFonts w:hint="eastAsia" w:ascii="楷体_GB2312" w:hAnsi="楷体" w:eastAsia="楷体_GB2312" w:cs="楷体_GB2312"/>
          <w:b/>
          <w:bCs/>
          <w:sz w:val="32"/>
          <w:szCs w:val="32"/>
        </w:rPr>
        <w:t>在学院七届二次教代会上的工作报告</w:t>
      </w:r>
    </w:p>
    <w:p>
      <w:pPr>
        <w:spacing w:line="590" w:lineRule="exact"/>
        <w:jc w:val="center"/>
        <w:rPr>
          <w:rFonts w:ascii="楷体_GB2312" w:hAnsi="楷体" w:eastAsia="楷体_GB2312"/>
          <w:b/>
          <w:bCs/>
          <w:sz w:val="32"/>
          <w:szCs w:val="32"/>
        </w:rPr>
      </w:pPr>
      <w:r>
        <w:rPr>
          <w:rFonts w:hint="eastAsia" w:ascii="楷体_GB2312" w:hAnsi="楷体" w:eastAsia="楷体_GB2312" w:cs="楷体_GB2312"/>
          <w:b/>
          <w:bCs/>
          <w:sz w:val="32"/>
          <w:szCs w:val="32"/>
        </w:rPr>
        <w:t>方传龙</w:t>
      </w:r>
    </w:p>
    <w:p>
      <w:pPr>
        <w:spacing w:line="590" w:lineRule="exact"/>
        <w:jc w:val="center"/>
        <w:rPr>
          <w:rFonts w:ascii="楷体_GB2312" w:hAnsi="楷体" w:eastAsia="楷体_GB2312"/>
          <w:b/>
          <w:bCs/>
          <w:sz w:val="32"/>
          <w:szCs w:val="32"/>
        </w:rPr>
      </w:pPr>
      <w:r>
        <w:rPr>
          <w:rFonts w:ascii="楷体_GB2312" w:hAnsi="楷体" w:eastAsia="楷体_GB2312" w:cs="楷体_GB2312"/>
          <w:b/>
          <w:bCs/>
          <w:sz w:val="32"/>
          <w:szCs w:val="32"/>
        </w:rPr>
        <w:t>2022</w:t>
      </w:r>
      <w:r>
        <w:rPr>
          <w:rFonts w:hint="eastAsia" w:ascii="楷体_GB2312" w:hAnsi="楷体" w:eastAsia="楷体_GB2312" w:cs="楷体_GB2312"/>
          <w:b/>
          <w:bCs/>
          <w:sz w:val="32"/>
          <w:szCs w:val="32"/>
        </w:rPr>
        <w:t>年</w:t>
      </w:r>
      <w:r>
        <w:rPr>
          <w:rFonts w:ascii="楷体_GB2312" w:hAnsi="楷体" w:eastAsia="楷体_GB2312" w:cs="楷体_GB2312"/>
          <w:b/>
          <w:bCs/>
          <w:sz w:val="32"/>
          <w:szCs w:val="32"/>
        </w:rPr>
        <w:t>3</w:t>
      </w:r>
      <w:r>
        <w:rPr>
          <w:rFonts w:hint="eastAsia" w:ascii="楷体_GB2312" w:hAnsi="楷体" w:eastAsia="楷体_GB2312" w:cs="楷体_GB2312"/>
          <w:b/>
          <w:bCs/>
          <w:sz w:val="32"/>
          <w:szCs w:val="32"/>
        </w:rPr>
        <w:t>月</w:t>
      </w:r>
      <w:r>
        <w:rPr>
          <w:rFonts w:ascii="楷体_GB2312" w:hAnsi="楷体" w:eastAsia="楷体_GB2312" w:cs="楷体_GB2312"/>
          <w:b/>
          <w:bCs/>
          <w:sz w:val="32"/>
          <w:szCs w:val="32"/>
        </w:rPr>
        <w:t>25</w:t>
      </w:r>
      <w:r>
        <w:rPr>
          <w:rFonts w:hint="eastAsia" w:ascii="楷体_GB2312" w:hAnsi="楷体" w:eastAsia="楷体_GB2312" w:cs="楷体_GB2312"/>
          <w:b/>
          <w:bCs/>
          <w:sz w:val="32"/>
          <w:szCs w:val="32"/>
        </w:rPr>
        <w:t>日</w:t>
      </w:r>
    </w:p>
    <w:p>
      <w:pPr>
        <w:spacing w:line="590" w:lineRule="exact"/>
        <w:jc w:val="center"/>
        <w:rPr>
          <w:rFonts w:ascii="楷体_GB2312" w:hAnsi="楷体" w:eastAsia="楷体_GB2312"/>
          <w:sz w:val="32"/>
          <w:szCs w:val="32"/>
        </w:rPr>
      </w:pPr>
    </w:p>
    <w:p>
      <w:pPr>
        <w:spacing w:line="360" w:lineRule="auto"/>
        <w:jc w:val="left"/>
        <w:rPr>
          <w:rFonts w:ascii="仿宋_GB2312" w:eastAsia="仿宋_GB2312"/>
          <w:sz w:val="32"/>
          <w:szCs w:val="32"/>
        </w:rPr>
      </w:pPr>
      <w:r>
        <w:rPr>
          <w:rFonts w:hint="eastAsia" w:ascii="仿宋_GB2312" w:eastAsia="仿宋_GB2312" w:cs="仿宋_GB2312"/>
          <w:b/>
          <w:bCs/>
          <w:sz w:val="32"/>
          <w:szCs w:val="32"/>
        </w:rPr>
        <w:t>各位代表</w:t>
      </w:r>
      <w:r>
        <w:rPr>
          <w:rFonts w:hint="eastAsia" w:ascii="仿宋_GB2312" w:eastAsia="仿宋_GB2312" w:cs="仿宋_GB2312"/>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cs="仿宋_GB2312"/>
          <w:sz w:val="32"/>
          <w:szCs w:val="32"/>
        </w:rPr>
        <w:t>我代表学院向大会作工作报告，请予审议。</w:t>
      </w:r>
    </w:p>
    <w:p>
      <w:pPr>
        <w:spacing w:line="360" w:lineRule="auto"/>
        <w:ind w:firstLine="640" w:firstLineChars="200"/>
        <w:rPr>
          <w:rFonts w:ascii="仿宋_GB2312" w:eastAsia="仿宋_GB2312"/>
          <w:sz w:val="32"/>
          <w:szCs w:val="32"/>
        </w:rPr>
      </w:pPr>
      <w:r>
        <w:rPr>
          <w:rFonts w:hint="eastAsia" w:ascii="黑体" w:hAnsi="黑体" w:eastAsia="黑体" w:cs="黑体"/>
          <w:sz w:val="32"/>
          <w:szCs w:val="32"/>
        </w:rPr>
        <w:t>一、</w:t>
      </w:r>
      <w:r>
        <w:rPr>
          <w:rFonts w:ascii="黑体" w:hAnsi="黑体" w:eastAsia="黑体" w:cs="黑体"/>
          <w:sz w:val="32"/>
          <w:szCs w:val="32"/>
        </w:rPr>
        <w:t>2021</w:t>
      </w:r>
      <w:r>
        <w:rPr>
          <w:rFonts w:hint="eastAsia" w:ascii="黑体" w:hAnsi="黑体" w:eastAsia="黑体" w:cs="黑体"/>
          <w:sz w:val="32"/>
          <w:szCs w:val="32"/>
        </w:rPr>
        <w:t>年工作回顾</w:t>
      </w:r>
    </w:p>
    <w:p>
      <w:pPr>
        <w:spacing w:line="360" w:lineRule="auto"/>
        <w:ind w:firstLine="640" w:firstLineChars="200"/>
        <w:rPr>
          <w:rFonts w:ascii="仿宋_GB2312" w:eastAsia="仿宋_GB2312"/>
          <w:sz w:val="32"/>
          <w:szCs w:val="32"/>
        </w:rPr>
      </w:pPr>
      <w:r>
        <w:rPr>
          <w:rFonts w:hint="eastAsia" w:ascii="仿宋_GB2312" w:eastAsia="仿宋_GB2312" w:cs="仿宋_GB2312"/>
          <w:sz w:val="32"/>
          <w:szCs w:val="32"/>
        </w:rPr>
        <w:t>过去的一年，学院党委统揽全局引领发展能力得到新发展。胜利召开三届二次全委会和七届一次教代会，审议通过《“十四五”发展规划》，锚定建设医科大学远景目标。按照“学史明理、学史增信、学史崇德、学史力行”的总要求，扎实深入开展党史学习教育，聚焦师生急难愁盼问题，全力推进“我为师生群众办实事”五项行动，实现了党建引领促发展的工作目标。</w:t>
      </w:r>
    </w:p>
    <w:p>
      <w:pPr>
        <w:spacing w:line="360" w:lineRule="auto"/>
        <w:ind w:firstLine="640" w:firstLineChars="200"/>
        <w:rPr>
          <w:rFonts w:ascii="仿宋_GB2312" w:eastAsia="仿宋_GB2312"/>
          <w:sz w:val="32"/>
          <w:szCs w:val="32"/>
        </w:rPr>
      </w:pPr>
      <w:r>
        <w:rPr>
          <w:rFonts w:hint="eastAsia" w:ascii="仿宋_GB2312" w:eastAsia="仿宋_GB2312" w:cs="仿宋_GB2312"/>
          <w:sz w:val="32"/>
          <w:szCs w:val="32"/>
        </w:rPr>
        <w:t>过去的一年，人才培养能力得到新提升。顺利通过教育部组织开展的药学专业认证和省教育厅组织开展的人才培养战略定位及专业结构优化调整论证，正式启动了迎接新一轮教育部本科教育教学审核评估准备工作。护理学专业获批国家级一流本科专业建设点，</w:t>
      </w:r>
      <w:r>
        <w:rPr>
          <w:rFonts w:hint="eastAsia" w:ascii="仿宋_GB2312" w:hAnsi="仿宋_GB2312" w:eastAsia="仿宋_GB2312" w:cs="仿宋_GB2312"/>
          <w:kern w:val="0"/>
          <w:sz w:val="32"/>
          <w:szCs w:val="32"/>
          <w:lang w:val="zh-CN"/>
        </w:rPr>
        <w:t>医学检验技术、医学影像技术、应用心理学</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个专业获批省级一流本科专业建设点。</w:t>
      </w:r>
      <w:r>
        <w:rPr>
          <w:rFonts w:hint="eastAsia" w:ascii="仿宋_GB2312" w:eastAsia="仿宋_GB2312" w:cs="仿宋_GB2312"/>
          <w:sz w:val="32"/>
          <w:szCs w:val="32"/>
        </w:rPr>
        <w:t>《药理学》等</w:t>
      </w:r>
      <w:r>
        <w:rPr>
          <w:rFonts w:ascii="仿宋_GB2312" w:eastAsia="仿宋_GB2312" w:cs="仿宋_GB2312"/>
          <w:sz w:val="32"/>
          <w:szCs w:val="32"/>
        </w:rPr>
        <w:t>10</w:t>
      </w:r>
      <w:r>
        <w:rPr>
          <w:rFonts w:hint="eastAsia" w:ascii="仿宋_GB2312" w:eastAsia="仿宋_GB2312" w:cs="仿宋_GB2312"/>
          <w:sz w:val="32"/>
          <w:szCs w:val="32"/>
        </w:rPr>
        <w:t>门课程获批第二批省级线上一流课程、省级线上线下混合式一流课程、省级虚拟仿真一流课程，临床心理学虚拟教研室获批省级虚拟教研室。课程思</w:t>
      </w:r>
      <w:r>
        <w:rPr>
          <w:rFonts w:hint="eastAsia" w:ascii="仿宋_GB2312" w:hAnsi="??" w:eastAsia="仿宋_GB2312" w:cs="仿宋_GB2312"/>
          <w:kern w:val="0"/>
          <w:sz w:val="32"/>
          <w:szCs w:val="32"/>
        </w:rPr>
        <w:t>政建设初见成效，成立课程思政教学研究中心，在全省首届课程思政教学竞赛中荣获二等奖、三等奖和</w:t>
      </w:r>
      <w:r>
        <w:rPr>
          <w:rFonts w:hint="eastAsia" w:ascii="仿宋_GB2312" w:eastAsia="仿宋_GB2312" w:cs="仿宋_GB2312"/>
          <w:sz w:val="32"/>
          <w:szCs w:val="32"/>
        </w:rPr>
        <w:t>优秀教学设计案例专项奖共</w:t>
      </w:r>
      <w:r>
        <w:rPr>
          <w:rFonts w:ascii="仿宋_GB2312" w:eastAsia="仿宋_GB2312" w:cs="仿宋_GB2312"/>
          <w:sz w:val="32"/>
          <w:szCs w:val="32"/>
        </w:rPr>
        <w:t>3</w:t>
      </w:r>
      <w:r>
        <w:rPr>
          <w:rFonts w:hint="eastAsia" w:ascii="仿宋_GB2312" w:eastAsia="仿宋_GB2312" w:cs="仿宋_GB2312"/>
          <w:sz w:val="32"/>
          <w:szCs w:val="32"/>
        </w:rPr>
        <w:t>项，《生理学》等</w:t>
      </w:r>
      <w:r>
        <w:rPr>
          <w:rFonts w:ascii="仿宋_GB2312" w:eastAsia="仿宋_GB2312" w:cs="仿宋_GB2312"/>
          <w:sz w:val="32"/>
          <w:szCs w:val="32"/>
        </w:rPr>
        <w:t>4</w:t>
      </w:r>
      <w:r>
        <w:rPr>
          <w:rFonts w:hint="eastAsia" w:ascii="仿宋_GB2312" w:eastAsia="仿宋_GB2312" w:cs="仿宋_GB2312"/>
          <w:sz w:val="32"/>
          <w:szCs w:val="32"/>
        </w:rPr>
        <w:t>门课程获批第二批省高等学校课程思政示范课程</w:t>
      </w:r>
      <w:r>
        <w:rPr>
          <w:rFonts w:hint="eastAsia" w:ascii="仿宋_GB2312" w:hAnsi="??" w:eastAsia="仿宋_GB2312" w:cs="仿宋_GB2312"/>
          <w:kern w:val="0"/>
          <w:sz w:val="32"/>
          <w:szCs w:val="32"/>
        </w:rPr>
        <w:t>。全年教师出版规划教材</w:t>
      </w:r>
      <w:r>
        <w:rPr>
          <w:rFonts w:ascii="仿宋_GB2312" w:hAnsi="??" w:eastAsia="仿宋_GB2312" w:cs="仿宋_GB2312"/>
          <w:kern w:val="0"/>
          <w:sz w:val="32"/>
          <w:szCs w:val="32"/>
        </w:rPr>
        <w:t>9</w:t>
      </w:r>
      <w:r>
        <w:rPr>
          <w:rFonts w:hint="eastAsia" w:ascii="仿宋_GB2312" w:hAnsi="??" w:eastAsia="仿宋_GB2312" w:cs="仿宋_GB2312"/>
          <w:kern w:val="0"/>
          <w:sz w:val="32"/>
          <w:szCs w:val="32"/>
        </w:rPr>
        <w:t>部，主</w:t>
      </w:r>
      <w:r>
        <w:rPr>
          <w:rFonts w:hint="eastAsia" w:ascii="仿宋_GB2312" w:eastAsia="仿宋_GB2312" w:cs="仿宋_GB2312"/>
          <w:sz w:val="32"/>
          <w:szCs w:val="32"/>
        </w:rPr>
        <w:t>编教材</w:t>
      </w:r>
      <w:r>
        <w:rPr>
          <w:rFonts w:ascii="仿宋_GB2312" w:eastAsia="仿宋_GB2312" w:cs="仿宋_GB2312"/>
          <w:sz w:val="32"/>
          <w:szCs w:val="32"/>
        </w:rPr>
        <w:t>6</w:t>
      </w:r>
      <w:r>
        <w:rPr>
          <w:rFonts w:hint="eastAsia" w:ascii="仿宋_GB2312" w:eastAsia="仿宋_GB2312" w:cs="仿宋_GB2312"/>
          <w:sz w:val="32"/>
          <w:szCs w:val="32"/>
        </w:rPr>
        <w:t>部。</w:t>
      </w:r>
      <w:r>
        <w:rPr>
          <w:rFonts w:hint="eastAsia" w:ascii="仿宋_GB2312" w:hAnsi="??" w:eastAsia="仿宋_GB2312" w:cs="仿宋_GB2312"/>
          <w:kern w:val="0"/>
          <w:sz w:val="32"/>
          <w:szCs w:val="32"/>
          <w:lang w:val="zh-CN"/>
        </w:rPr>
        <w:t>获批省级及以上教研课题</w:t>
      </w:r>
      <w:r>
        <w:rPr>
          <w:rFonts w:ascii="仿宋_GB2312" w:hAnsi="??" w:eastAsia="仿宋_GB2312" w:cs="仿宋_GB2312"/>
          <w:kern w:val="0"/>
          <w:sz w:val="32"/>
          <w:szCs w:val="32"/>
          <w:lang w:val="zh-CN"/>
        </w:rPr>
        <w:t>48</w:t>
      </w:r>
      <w:r>
        <w:rPr>
          <w:rFonts w:hint="eastAsia" w:ascii="仿宋_GB2312" w:hAnsi="??" w:eastAsia="仿宋_GB2312" w:cs="仿宋_GB2312"/>
          <w:kern w:val="0"/>
          <w:sz w:val="32"/>
          <w:szCs w:val="32"/>
          <w:lang w:val="zh-CN"/>
        </w:rPr>
        <w:t>项，获省高等教育科学研究优秀成果奖</w:t>
      </w:r>
      <w:r>
        <w:rPr>
          <w:rFonts w:ascii="仿宋_GB2312" w:hAnsi="??" w:eastAsia="仿宋_GB2312" w:cs="仿宋_GB2312"/>
          <w:kern w:val="0"/>
          <w:sz w:val="32"/>
          <w:szCs w:val="32"/>
          <w:lang w:val="zh-CN"/>
        </w:rPr>
        <w:t>12</w:t>
      </w:r>
      <w:r>
        <w:rPr>
          <w:rFonts w:hint="eastAsia" w:ascii="仿宋_GB2312" w:hAnsi="??" w:eastAsia="仿宋_GB2312" w:cs="仿宋_GB2312"/>
          <w:kern w:val="0"/>
          <w:sz w:val="32"/>
          <w:szCs w:val="32"/>
          <w:lang w:val="zh-CN"/>
        </w:rPr>
        <w:t>项。</w:t>
      </w:r>
      <w:r>
        <w:rPr>
          <w:rFonts w:hint="eastAsia" w:ascii="仿宋_GB2312" w:eastAsia="仿宋_GB2312" w:cs="仿宋_GB2312"/>
          <w:sz w:val="32"/>
          <w:szCs w:val="32"/>
        </w:rPr>
        <w:t>强化实践教学基地管理，新增</w:t>
      </w:r>
      <w:r>
        <w:rPr>
          <w:rFonts w:ascii="仿宋_GB2312" w:eastAsia="仿宋_GB2312" w:cs="仿宋_GB2312"/>
          <w:sz w:val="32"/>
          <w:szCs w:val="32"/>
        </w:rPr>
        <w:t>7</w:t>
      </w:r>
      <w:r>
        <w:rPr>
          <w:rFonts w:hint="eastAsia" w:ascii="仿宋_GB2312" w:eastAsia="仿宋_GB2312" w:cs="仿宋_GB2312"/>
          <w:sz w:val="32"/>
          <w:szCs w:val="32"/>
        </w:rPr>
        <w:t>家校外实践教学基地。</w:t>
      </w:r>
      <w:r>
        <w:rPr>
          <w:rFonts w:ascii="仿宋_GB2312" w:hAnsi="仿宋" w:eastAsia="仿宋_GB2312" w:cs="仿宋_GB2312"/>
          <w:sz w:val="32"/>
          <w:szCs w:val="32"/>
        </w:rPr>
        <w:t>13</w:t>
      </w:r>
      <w:r>
        <w:rPr>
          <w:rFonts w:hint="eastAsia" w:ascii="仿宋_GB2312" w:hAnsi="仿宋" w:eastAsia="仿宋_GB2312" w:cs="仿宋_GB2312"/>
          <w:sz w:val="32"/>
          <w:szCs w:val="32"/>
        </w:rPr>
        <w:t>名学生在省级以上比赛中获奖，</w:t>
      </w:r>
      <w:r>
        <w:rPr>
          <w:rFonts w:hint="eastAsia" w:ascii="仿宋_GB2312" w:eastAsia="仿宋_GB2312" w:cs="仿宋_GB2312"/>
          <w:sz w:val="32"/>
          <w:szCs w:val="32"/>
        </w:rPr>
        <w:t>口腔医学院张国淼同学入选《人民日报》主编的《本专科生国家奖学金获奖学生代表名录》。</w:t>
      </w:r>
    </w:p>
    <w:p>
      <w:pPr>
        <w:autoSpaceDE w:val="0"/>
        <w:autoSpaceDN w:val="0"/>
        <w:adjustRightInd w:val="0"/>
        <w:spacing w:line="360" w:lineRule="auto"/>
        <w:ind w:firstLine="640" w:firstLineChars="200"/>
        <w:rPr>
          <w:rFonts w:ascii="仿宋_GB2312" w:hAnsi="??" w:eastAsia="仿宋_GB2312"/>
          <w:kern w:val="0"/>
          <w:sz w:val="32"/>
          <w:szCs w:val="32"/>
          <w:lang w:val="zh-CN"/>
        </w:rPr>
      </w:pPr>
      <w:r>
        <w:rPr>
          <w:rFonts w:hint="eastAsia" w:ascii="仿宋_GB2312" w:eastAsia="仿宋_GB2312" w:cs="仿宋_GB2312"/>
          <w:sz w:val="32"/>
          <w:szCs w:val="32"/>
        </w:rPr>
        <w:t>过去的一年，学科建设和科研实力实现新攀升。新增临床医学、基础医学、公共卫生、护理、应用心理</w:t>
      </w:r>
      <w:r>
        <w:rPr>
          <w:rFonts w:ascii="仿宋_GB2312" w:eastAsia="仿宋_GB2312" w:cs="仿宋_GB2312"/>
          <w:sz w:val="32"/>
          <w:szCs w:val="32"/>
        </w:rPr>
        <w:t>5</w:t>
      </w:r>
      <w:r>
        <w:rPr>
          <w:rFonts w:hint="eastAsia" w:ascii="仿宋_GB2312" w:eastAsia="仿宋_GB2312" w:cs="仿宋_GB2312"/>
          <w:sz w:val="32"/>
          <w:szCs w:val="32"/>
        </w:rPr>
        <w:t>个硕士学位点，硕士学位点基本覆盖了二级学院，研究生教育进入新发展阶段，成为学院内涵建设新的增长极。截至目前，学院已拥有硕士一级学科点</w:t>
      </w:r>
      <w:r>
        <w:rPr>
          <w:rFonts w:ascii="仿宋_GB2312" w:eastAsia="仿宋_GB2312" w:cs="仿宋_GB2312"/>
          <w:sz w:val="32"/>
          <w:szCs w:val="32"/>
        </w:rPr>
        <w:t>2</w:t>
      </w:r>
      <w:r>
        <w:rPr>
          <w:rFonts w:hint="eastAsia" w:ascii="仿宋_GB2312" w:eastAsia="仿宋_GB2312" w:cs="仿宋_GB2312"/>
          <w:sz w:val="32"/>
          <w:szCs w:val="32"/>
        </w:rPr>
        <w:t>个、硕士专业学位类别</w:t>
      </w:r>
      <w:r>
        <w:rPr>
          <w:rFonts w:ascii="仿宋_GB2312" w:eastAsia="仿宋_GB2312" w:cs="仿宋_GB2312"/>
          <w:sz w:val="32"/>
          <w:szCs w:val="32"/>
        </w:rPr>
        <w:t>5</w:t>
      </w:r>
      <w:r>
        <w:rPr>
          <w:rFonts w:hint="eastAsia" w:ascii="仿宋_GB2312" w:eastAsia="仿宋_GB2312" w:cs="仿宋_GB2312"/>
          <w:sz w:val="32"/>
          <w:szCs w:val="32"/>
        </w:rPr>
        <w:t>个，</w:t>
      </w:r>
      <w:r>
        <w:rPr>
          <w:rFonts w:hint="eastAsia" w:ascii="仿宋_GB2312" w:hAnsi="宋体" w:eastAsia="仿宋_GB2312" w:cs="仿宋_GB2312"/>
          <w:kern w:val="0"/>
          <w:sz w:val="32"/>
          <w:szCs w:val="32"/>
        </w:rPr>
        <w:t>精神病与精神卫生学申报省优势特色学科，</w:t>
      </w:r>
      <w:r>
        <w:rPr>
          <w:rFonts w:hint="eastAsia" w:ascii="仿宋_GB2312" w:eastAsia="仿宋_GB2312" w:cs="仿宋_GB2312"/>
          <w:sz w:val="32"/>
          <w:szCs w:val="32"/>
        </w:rPr>
        <w:t>学科结构更加完善，学科布局进一步优化。</w:t>
      </w:r>
      <w:r>
        <w:rPr>
          <w:rFonts w:hint="eastAsia" w:ascii="仿宋_GB2312" w:hAnsi="??" w:eastAsia="仿宋_GB2312" w:cs="仿宋_GB2312"/>
          <w:kern w:val="0"/>
          <w:sz w:val="32"/>
          <w:szCs w:val="32"/>
        </w:rPr>
        <w:t>加强领军人才梯队建设，</w:t>
      </w:r>
      <w:r>
        <w:rPr>
          <w:rFonts w:hint="eastAsia" w:ascii="仿宋_GB2312" w:eastAsia="仿宋_GB2312" w:cs="仿宋_GB2312"/>
          <w:sz w:val="32"/>
          <w:szCs w:val="32"/>
        </w:rPr>
        <w:t>医学检验技术获批市级领军人才梯队。研究生教育扎实开展，完成招收</w:t>
      </w:r>
      <w:r>
        <w:rPr>
          <w:rFonts w:ascii="仿宋_GB2312" w:eastAsia="仿宋_GB2312" w:cs="仿宋_GB2312"/>
          <w:sz w:val="32"/>
          <w:szCs w:val="32"/>
        </w:rPr>
        <w:t>68</w:t>
      </w:r>
      <w:r>
        <w:rPr>
          <w:rFonts w:hint="eastAsia" w:ascii="仿宋_GB2312" w:eastAsia="仿宋_GB2312" w:cs="仿宋_GB2312"/>
          <w:sz w:val="32"/>
          <w:szCs w:val="32"/>
        </w:rPr>
        <w:t>人的招生计划</w:t>
      </w:r>
      <w:r>
        <w:rPr>
          <w:rFonts w:hint="eastAsia" w:ascii="仿宋_GB2312" w:hAnsi="??" w:eastAsia="仿宋_GB2312" w:cs="仿宋_GB2312"/>
          <w:kern w:val="0"/>
          <w:sz w:val="32"/>
          <w:szCs w:val="32"/>
          <w:lang w:val="zh-CN"/>
        </w:rPr>
        <w:t>；</w:t>
      </w:r>
      <w:r>
        <w:rPr>
          <w:rFonts w:hint="eastAsia" w:ascii="仿宋_GB2312" w:eastAsia="仿宋_GB2312" w:cs="仿宋_GB2312"/>
          <w:sz w:val="32"/>
          <w:szCs w:val="32"/>
        </w:rPr>
        <w:t>与黑龙江中医药大学等高校</w:t>
      </w:r>
      <w:r>
        <w:rPr>
          <w:rFonts w:hint="eastAsia" w:ascii="仿宋_GB2312" w:hAnsi="??" w:eastAsia="仿宋_GB2312" w:cs="仿宋_GB2312"/>
          <w:kern w:val="0"/>
          <w:sz w:val="32"/>
          <w:szCs w:val="32"/>
          <w:lang w:val="zh-CN"/>
        </w:rPr>
        <w:t>联合培养的</w:t>
      </w:r>
      <w:r>
        <w:rPr>
          <w:rFonts w:ascii="仿宋_GB2312" w:hAnsi="??" w:eastAsia="仿宋_GB2312" w:cs="仿宋_GB2312"/>
          <w:kern w:val="0"/>
          <w:sz w:val="32"/>
          <w:szCs w:val="32"/>
        </w:rPr>
        <w:t>36</w:t>
      </w:r>
      <w:r>
        <w:rPr>
          <w:rFonts w:hint="eastAsia" w:ascii="仿宋_GB2312" w:hAnsi="??" w:eastAsia="仿宋_GB2312" w:cs="仿宋_GB2312"/>
          <w:kern w:val="0"/>
          <w:sz w:val="32"/>
          <w:szCs w:val="32"/>
          <w:lang w:val="zh-CN"/>
        </w:rPr>
        <w:t>名博士、</w:t>
      </w:r>
      <w:r>
        <w:rPr>
          <w:rFonts w:hint="eastAsia" w:ascii="仿宋_GB2312" w:hAnsi="??" w:eastAsia="仿宋_GB2312" w:cs="仿宋_GB2312"/>
          <w:kern w:val="0"/>
          <w:sz w:val="32"/>
          <w:szCs w:val="32"/>
        </w:rPr>
        <w:t>硕士</w:t>
      </w:r>
      <w:r>
        <w:rPr>
          <w:rFonts w:hint="eastAsia" w:ascii="仿宋_GB2312" w:hAnsi="??" w:eastAsia="仿宋_GB2312" w:cs="仿宋_GB2312"/>
          <w:kern w:val="0"/>
          <w:sz w:val="32"/>
          <w:szCs w:val="32"/>
          <w:lang w:val="zh-CN"/>
        </w:rPr>
        <w:t>研究生</w:t>
      </w:r>
      <w:r>
        <w:rPr>
          <w:rFonts w:hint="eastAsia" w:ascii="仿宋_GB2312" w:hAnsi="??" w:eastAsia="仿宋_GB2312" w:cs="仿宋_GB2312"/>
          <w:sz w:val="32"/>
          <w:szCs w:val="32"/>
          <w:lang w:val="zh-CN"/>
        </w:rPr>
        <w:t>顺利毕业并</w:t>
      </w:r>
      <w:r>
        <w:rPr>
          <w:rFonts w:hint="eastAsia" w:ascii="仿宋_GB2312" w:hAnsi="??" w:eastAsia="仿宋_GB2312" w:cs="仿宋_GB2312"/>
          <w:kern w:val="0"/>
          <w:sz w:val="32"/>
          <w:szCs w:val="32"/>
        </w:rPr>
        <w:t>获得</w:t>
      </w:r>
      <w:r>
        <w:rPr>
          <w:rFonts w:hint="eastAsia" w:ascii="仿宋_GB2312" w:hAnsi="??" w:eastAsia="仿宋_GB2312" w:cs="仿宋_GB2312"/>
          <w:kern w:val="0"/>
          <w:sz w:val="32"/>
          <w:szCs w:val="32"/>
          <w:lang w:val="zh-CN"/>
        </w:rPr>
        <w:t>学位</w:t>
      </w:r>
      <w:r>
        <w:rPr>
          <w:rFonts w:hint="eastAsia" w:ascii="仿宋_GB2312" w:hAnsi="??" w:eastAsia="仿宋_GB2312" w:cs="仿宋_GB2312"/>
          <w:sz w:val="32"/>
          <w:szCs w:val="32"/>
          <w:lang w:val="zh-CN"/>
        </w:rPr>
        <w:t>。</w:t>
      </w:r>
      <w:r>
        <w:rPr>
          <w:rFonts w:hint="eastAsia" w:ascii="仿宋_GB2312" w:hAnsi="??" w:eastAsia="仿宋_GB2312" w:cs="仿宋_GB2312"/>
          <w:kern w:val="0"/>
          <w:sz w:val="32"/>
          <w:szCs w:val="32"/>
          <w:lang w:val="zh-CN"/>
        </w:rPr>
        <w:t>医学技术和药学专业研究生导学团队获批黑龙江省优秀研究生导学团队。科研能力不断提升，全年获批各级各类科研项目</w:t>
      </w:r>
      <w:r>
        <w:rPr>
          <w:rFonts w:ascii="仿宋_GB2312" w:hAnsi="??" w:eastAsia="仿宋_GB2312" w:cs="仿宋_GB2312"/>
          <w:kern w:val="0"/>
          <w:sz w:val="32"/>
          <w:szCs w:val="32"/>
          <w:lang w:val="zh-CN"/>
        </w:rPr>
        <w:t>220</w:t>
      </w:r>
      <w:r>
        <w:rPr>
          <w:rFonts w:hint="eastAsia" w:ascii="仿宋_GB2312" w:hAnsi="??" w:eastAsia="仿宋_GB2312" w:cs="仿宋_GB2312"/>
          <w:kern w:val="0"/>
          <w:sz w:val="32"/>
          <w:szCs w:val="32"/>
          <w:lang w:val="zh-CN"/>
        </w:rPr>
        <w:t>项</w:t>
      </w:r>
      <w:r>
        <w:rPr>
          <w:rFonts w:hint="eastAsia" w:ascii="仿宋_GB2312" w:hAnsi="??" w:eastAsia="仿宋_GB2312" w:cs="仿宋_GB2312"/>
          <w:kern w:val="0"/>
          <w:sz w:val="32"/>
          <w:szCs w:val="32"/>
        </w:rPr>
        <w:t>，获批资助经费</w:t>
      </w:r>
      <w:r>
        <w:rPr>
          <w:rFonts w:ascii="仿宋_GB2312" w:hAnsi="??" w:eastAsia="仿宋_GB2312" w:cs="仿宋_GB2312"/>
          <w:kern w:val="0"/>
          <w:sz w:val="32"/>
          <w:szCs w:val="32"/>
        </w:rPr>
        <w:t>684</w:t>
      </w:r>
      <w:r>
        <w:rPr>
          <w:rFonts w:hint="eastAsia" w:ascii="仿宋_GB2312" w:hAnsi="??" w:eastAsia="仿宋_GB2312" w:cs="仿宋_GB2312"/>
          <w:kern w:val="0"/>
          <w:sz w:val="32"/>
          <w:szCs w:val="32"/>
        </w:rPr>
        <w:t>万元。其中，获国家自然科学基金项目</w:t>
      </w:r>
      <w:r>
        <w:rPr>
          <w:rFonts w:ascii="仿宋_GB2312" w:hAnsi="??" w:eastAsia="仿宋_GB2312" w:cs="仿宋_GB2312"/>
          <w:kern w:val="0"/>
          <w:sz w:val="32"/>
          <w:szCs w:val="32"/>
        </w:rPr>
        <w:t>5</w:t>
      </w:r>
      <w:r>
        <w:rPr>
          <w:rFonts w:hint="eastAsia" w:ascii="仿宋_GB2312" w:hAnsi="??" w:eastAsia="仿宋_GB2312" w:cs="仿宋_GB2312"/>
          <w:kern w:val="0"/>
          <w:sz w:val="32"/>
          <w:szCs w:val="32"/>
        </w:rPr>
        <w:t>项、省自然科学基金项目</w:t>
      </w:r>
      <w:r>
        <w:rPr>
          <w:rFonts w:ascii="仿宋_GB2312" w:hAnsi="??" w:eastAsia="仿宋_GB2312" w:cs="仿宋_GB2312"/>
          <w:kern w:val="0"/>
          <w:sz w:val="32"/>
          <w:szCs w:val="32"/>
        </w:rPr>
        <w:t>8</w:t>
      </w:r>
      <w:r>
        <w:rPr>
          <w:rFonts w:hint="eastAsia" w:ascii="仿宋_GB2312" w:hAnsi="??" w:eastAsia="仿宋_GB2312" w:cs="仿宋_GB2312"/>
          <w:kern w:val="0"/>
          <w:sz w:val="32"/>
          <w:szCs w:val="32"/>
        </w:rPr>
        <w:t>项，</w:t>
      </w:r>
      <w:r>
        <w:rPr>
          <w:rFonts w:hint="eastAsia" w:ascii="仿宋_GB2312" w:hAnsi="??" w:eastAsia="仿宋_GB2312" w:cs="仿宋_GB2312"/>
          <w:kern w:val="0"/>
          <w:sz w:val="32"/>
          <w:szCs w:val="32"/>
          <w:lang w:val="zh-CN"/>
        </w:rPr>
        <w:t>黑龙江省首批“揭榜挂帅”科技攻关项目</w:t>
      </w:r>
      <w:r>
        <w:rPr>
          <w:rFonts w:ascii="仿宋_GB2312" w:hAnsi="??" w:eastAsia="仿宋_GB2312" w:cs="仿宋_GB2312"/>
          <w:kern w:val="0"/>
          <w:sz w:val="32"/>
          <w:szCs w:val="32"/>
          <w:lang w:val="zh-CN"/>
        </w:rPr>
        <w:t>1</w:t>
      </w:r>
      <w:r>
        <w:rPr>
          <w:rFonts w:hint="eastAsia" w:ascii="仿宋_GB2312" w:hAnsi="??" w:eastAsia="仿宋_GB2312" w:cs="仿宋_GB2312"/>
          <w:kern w:val="0"/>
          <w:sz w:val="32"/>
          <w:szCs w:val="32"/>
          <w:lang w:val="zh-CN"/>
        </w:rPr>
        <w:t>项；</w:t>
      </w:r>
      <w:r>
        <w:rPr>
          <w:rFonts w:hint="eastAsia" w:ascii="仿宋_GB2312" w:hAnsi="??" w:eastAsia="仿宋_GB2312" w:cs="仿宋_GB2312"/>
          <w:kern w:val="0"/>
          <w:sz w:val="32"/>
          <w:szCs w:val="32"/>
        </w:rPr>
        <w:t>杨晓蕾博士、肖丹博士获批国家自然科学基金青年基金项目，公共卫生学院和精神卫生学院实现主持国家自然科学基金项目零的突破。全年获得各级各类科技成果奖</w:t>
      </w:r>
      <w:r>
        <w:rPr>
          <w:rFonts w:ascii="仿宋_GB2312" w:hAnsi="??" w:eastAsia="仿宋_GB2312" w:cs="仿宋_GB2312"/>
          <w:kern w:val="0"/>
          <w:sz w:val="32"/>
          <w:szCs w:val="32"/>
          <w:lang w:val="zh-CN"/>
        </w:rPr>
        <w:t>84</w:t>
      </w:r>
      <w:r>
        <w:rPr>
          <w:rFonts w:hint="eastAsia" w:ascii="仿宋_GB2312" w:hAnsi="??" w:eastAsia="仿宋_GB2312" w:cs="仿宋_GB2312"/>
          <w:kern w:val="0"/>
          <w:sz w:val="32"/>
          <w:szCs w:val="32"/>
          <w:lang w:val="zh-CN"/>
        </w:rPr>
        <w:t>项，其中，省科学技术三等奖</w:t>
      </w:r>
      <w:r>
        <w:rPr>
          <w:rFonts w:ascii="仿宋_GB2312" w:hAnsi="??" w:eastAsia="仿宋_GB2312" w:cs="仿宋_GB2312"/>
          <w:kern w:val="0"/>
          <w:sz w:val="32"/>
          <w:szCs w:val="32"/>
          <w:lang w:val="zh-CN"/>
        </w:rPr>
        <w:t>1</w:t>
      </w:r>
      <w:r>
        <w:rPr>
          <w:rFonts w:hint="eastAsia" w:ascii="仿宋_GB2312" w:hAnsi="??" w:eastAsia="仿宋_GB2312" w:cs="仿宋_GB2312"/>
          <w:kern w:val="0"/>
          <w:sz w:val="32"/>
          <w:szCs w:val="32"/>
          <w:lang w:val="zh-CN"/>
        </w:rPr>
        <w:t>项、厅局级一等奖</w:t>
      </w:r>
      <w:r>
        <w:rPr>
          <w:rFonts w:ascii="仿宋_GB2312" w:hAnsi="??" w:eastAsia="仿宋_GB2312" w:cs="仿宋_GB2312"/>
          <w:kern w:val="0"/>
          <w:sz w:val="32"/>
          <w:szCs w:val="32"/>
          <w:lang w:val="zh-CN"/>
        </w:rPr>
        <w:t>43</w:t>
      </w:r>
      <w:r>
        <w:rPr>
          <w:rFonts w:hint="eastAsia" w:ascii="仿宋_GB2312" w:hAnsi="??" w:eastAsia="仿宋_GB2312" w:cs="仿宋_GB2312"/>
          <w:kern w:val="0"/>
          <w:sz w:val="32"/>
          <w:szCs w:val="32"/>
          <w:lang w:val="zh-CN"/>
        </w:rPr>
        <w:t>项</w:t>
      </w:r>
      <w:r>
        <w:rPr>
          <w:rFonts w:hint="eastAsia" w:ascii="仿宋_GB2312" w:hAnsi="??" w:eastAsia="仿宋_GB2312" w:cs="仿宋_GB2312"/>
          <w:sz w:val="32"/>
          <w:szCs w:val="32"/>
          <w:lang w:val="zh-CN"/>
        </w:rPr>
        <w:t>。教师</w:t>
      </w:r>
      <w:r>
        <w:rPr>
          <w:rFonts w:hint="eastAsia" w:ascii="仿宋_GB2312" w:hAnsi="??" w:eastAsia="仿宋_GB2312" w:cs="仿宋_GB2312"/>
          <w:kern w:val="0"/>
          <w:sz w:val="32"/>
          <w:szCs w:val="32"/>
          <w:lang w:val="zh-CN"/>
        </w:rPr>
        <w:t>以第一通讯作者单位发表</w:t>
      </w:r>
      <w:r>
        <w:rPr>
          <w:rFonts w:ascii="仿宋_GB2312" w:hAnsi="??" w:eastAsia="仿宋_GB2312" w:cs="仿宋_GB2312"/>
          <w:kern w:val="0"/>
          <w:sz w:val="32"/>
          <w:szCs w:val="32"/>
          <w:lang w:val="zh-CN"/>
        </w:rPr>
        <w:t>SCI</w:t>
      </w:r>
      <w:r>
        <w:rPr>
          <w:rFonts w:hint="eastAsia" w:ascii="仿宋_GB2312" w:hAnsi="??" w:eastAsia="仿宋_GB2312" w:cs="仿宋_GB2312"/>
          <w:kern w:val="0"/>
          <w:sz w:val="32"/>
          <w:szCs w:val="32"/>
          <w:lang w:val="zh-CN"/>
        </w:rPr>
        <w:t>等三大检索收录论文</w:t>
      </w:r>
      <w:r>
        <w:rPr>
          <w:rFonts w:ascii="仿宋_GB2312" w:hAnsi="??" w:eastAsia="仿宋_GB2312" w:cs="仿宋_GB2312"/>
          <w:kern w:val="0"/>
          <w:sz w:val="32"/>
          <w:szCs w:val="32"/>
          <w:lang w:val="zh-CN"/>
        </w:rPr>
        <w:t>158</w:t>
      </w:r>
      <w:r>
        <w:rPr>
          <w:rFonts w:hint="eastAsia" w:ascii="仿宋_GB2312" w:hAnsi="??" w:eastAsia="仿宋_GB2312" w:cs="仿宋_GB2312"/>
          <w:kern w:val="0"/>
          <w:sz w:val="32"/>
          <w:szCs w:val="32"/>
          <w:lang w:val="zh-CN"/>
        </w:rPr>
        <w:t>篇，其中，影响因子</w:t>
      </w:r>
      <w:r>
        <w:rPr>
          <w:rFonts w:ascii="仿宋_GB2312" w:hAnsi="??" w:eastAsia="仿宋_GB2312" w:cs="仿宋_GB2312"/>
          <w:kern w:val="0"/>
          <w:sz w:val="32"/>
          <w:szCs w:val="32"/>
          <w:lang w:val="zh-CN"/>
        </w:rPr>
        <w:t>5.0</w:t>
      </w:r>
      <w:r>
        <w:rPr>
          <w:rFonts w:hint="eastAsia" w:ascii="仿宋_GB2312" w:hAnsi="??" w:eastAsia="仿宋_GB2312" w:cs="仿宋_GB2312"/>
          <w:kern w:val="0"/>
          <w:sz w:val="32"/>
          <w:szCs w:val="32"/>
          <w:lang w:val="zh-CN"/>
        </w:rPr>
        <w:t>以上的论文达</w:t>
      </w:r>
      <w:r>
        <w:rPr>
          <w:rFonts w:ascii="仿宋_GB2312" w:hAnsi="??" w:eastAsia="仿宋_GB2312" w:cs="仿宋_GB2312"/>
          <w:kern w:val="0"/>
          <w:sz w:val="32"/>
          <w:szCs w:val="32"/>
          <w:lang w:val="zh-CN"/>
        </w:rPr>
        <w:t>17</w:t>
      </w:r>
      <w:r>
        <w:rPr>
          <w:rFonts w:hint="eastAsia" w:ascii="仿宋_GB2312" w:hAnsi="??" w:eastAsia="仿宋_GB2312" w:cs="仿宋_GB2312"/>
          <w:kern w:val="0"/>
          <w:sz w:val="32"/>
          <w:szCs w:val="32"/>
          <w:lang w:val="zh-CN"/>
        </w:rPr>
        <w:t>篇，医学技术学院</w:t>
      </w:r>
      <w:r>
        <w:rPr>
          <w:rFonts w:hint="eastAsia" w:ascii="仿宋_GB2312" w:eastAsia="仿宋_GB2312" w:cs="仿宋_GB2312"/>
          <w:sz w:val="32"/>
          <w:szCs w:val="32"/>
        </w:rPr>
        <w:t>贾迪博士</w:t>
      </w:r>
      <w:r>
        <w:rPr>
          <w:rFonts w:hint="eastAsia" w:ascii="仿宋_GB2312" w:hAnsi="??" w:eastAsia="仿宋_GB2312" w:cs="仿宋_GB2312"/>
          <w:kern w:val="0"/>
          <w:sz w:val="32"/>
          <w:szCs w:val="32"/>
          <w:lang w:val="zh-CN"/>
        </w:rPr>
        <w:t>以第一作者身份在国际学术期刊发表影响因子为</w:t>
      </w:r>
      <w:r>
        <w:rPr>
          <w:rFonts w:ascii="仿宋_GB2312" w:hAnsi="??" w:eastAsia="仿宋_GB2312" w:cs="仿宋_GB2312"/>
          <w:kern w:val="0"/>
          <w:sz w:val="32"/>
          <w:szCs w:val="32"/>
          <w:lang w:val="zh-CN"/>
        </w:rPr>
        <w:t>15.336</w:t>
      </w:r>
      <w:r>
        <w:rPr>
          <w:rFonts w:hint="eastAsia" w:ascii="仿宋_GB2312" w:hAnsi="??" w:eastAsia="仿宋_GB2312" w:cs="仿宋_GB2312"/>
          <w:kern w:val="0"/>
          <w:sz w:val="32"/>
          <w:szCs w:val="32"/>
          <w:lang w:val="zh-CN"/>
        </w:rPr>
        <w:t>的</w:t>
      </w:r>
      <w:r>
        <w:rPr>
          <w:rFonts w:ascii="仿宋_GB2312" w:hAnsi="??" w:eastAsia="仿宋_GB2312" w:cs="仿宋_GB2312"/>
          <w:kern w:val="0"/>
          <w:sz w:val="32"/>
          <w:szCs w:val="32"/>
          <w:lang w:val="zh-CN"/>
        </w:rPr>
        <w:t>SCI</w:t>
      </w:r>
      <w:r>
        <w:rPr>
          <w:rFonts w:hint="eastAsia" w:ascii="仿宋_GB2312" w:hAnsi="??" w:eastAsia="仿宋_GB2312" w:cs="仿宋_GB2312"/>
          <w:kern w:val="0"/>
          <w:sz w:val="32"/>
          <w:szCs w:val="32"/>
          <w:lang w:val="zh-CN"/>
        </w:rPr>
        <w:t>收录论文。获批专利授权</w:t>
      </w:r>
      <w:r>
        <w:rPr>
          <w:rFonts w:ascii="仿宋_GB2312" w:hAnsi="??" w:eastAsia="仿宋_GB2312" w:cs="仿宋_GB2312"/>
          <w:kern w:val="0"/>
          <w:sz w:val="32"/>
          <w:szCs w:val="32"/>
          <w:lang w:val="zh-CN"/>
        </w:rPr>
        <w:t>42</w:t>
      </w:r>
      <w:r>
        <w:rPr>
          <w:rFonts w:hint="eastAsia" w:ascii="仿宋_GB2312" w:hAnsi="??" w:eastAsia="仿宋_GB2312" w:cs="仿宋_GB2312"/>
          <w:kern w:val="0"/>
          <w:sz w:val="32"/>
          <w:szCs w:val="32"/>
          <w:lang w:val="zh-CN"/>
        </w:rPr>
        <w:t>项，申请职务专利</w:t>
      </w:r>
      <w:r>
        <w:rPr>
          <w:rFonts w:ascii="仿宋_GB2312" w:hAnsi="??" w:eastAsia="仿宋_GB2312" w:cs="仿宋_GB2312"/>
          <w:kern w:val="0"/>
          <w:sz w:val="32"/>
          <w:szCs w:val="32"/>
          <w:lang w:val="zh-CN"/>
        </w:rPr>
        <w:t>41</w:t>
      </w:r>
      <w:r>
        <w:rPr>
          <w:rFonts w:hint="eastAsia" w:ascii="仿宋_GB2312" w:hAnsi="??" w:eastAsia="仿宋_GB2312" w:cs="仿宋_GB2312"/>
          <w:kern w:val="0"/>
          <w:sz w:val="32"/>
          <w:szCs w:val="32"/>
          <w:lang w:val="zh-CN"/>
        </w:rPr>
        <w:t>项。</w:t>
      </w:r>
      <w:r>
        <w:rPr>
          <w:rFonts w:hint="eastAsia" w:ascii="仿宋_GB2312" w:eastAsia="仿宋_GB2312" w:cs="仿宋_GB2312"/>
          <w:sz w:val="32"/>
          <w:szCs w:val="32"/>
        </w:rPr>
        <w:t>科研平台建设稳步推进，</w:t>
      </w:r>
      <w:r>
        <w:rPr>
          <w:rFonts w:hint="eastAsia" w:ascii="仿宋_GB2312" w:hAnsi="??" w:eastAsia="仿宋_GB2312" w:cs="仿宋_GB2312"/>
          <w:kern w:val="0"/>
          <w:sz w:val="32"/>
          <w:szCs w:val="32"/>
          <w:lang w:val="zh-CN"/>
        </w:rPr>
        <w:t>黑龙江省数字病理智能远程技术工程技术研究中心获批省重点研发指导项目，黑龙江省天然药物抗肿瘤重点实验室获得齐齐哈尔市科技创新平台奖励</w:t>
      </w:r>
      <w:r>
        <w:rPr>
          <w:rFonts w:ascii="仿宋_GB2312" w:hAnsi="??" w:eastAsia="仿宋_GB2312" w:cs="仿宋_GB2312"/>
          <w:kern w:val="0"/>
          <w:sz w:val="32"/>
          <w:szCs w:val="32"/>
          <w:lang w:val="zh-CN"/>
        </w:rPr>
        <w:t>20</w:t>
      </w:r>
      <w:r>
        <w:rPr>
          <w:rFonts w:hint="eastAsia" w:ascii="仿宋_GB2312" w:hAnsi="??" w:eastAsia="仿宋_GB2312" w:cs="仿宋_GB2312"/>
          <w:kern w:val="0"/>
          <w:sz w:val="32"/>
          <w:szCs w:val="32"/>
          <w:lang w:val="zh-CN"/>
        </w:rPr>
        <w:t>万元。全年签订技术开发和技术转让合同</w:t>
      </w:r>
      <w:r>
        <w:rPr>
          <w:rFonts w:ascii="仿宋_GB2312" w:hAnsi="??" w:eastAsia="仿宋_GB2312" w:cs="仿宋_GB2312"/>
          <w:kern w:val="0"/>
          <w:sz w:val="32"/>
          <w:szCs w:val="32"/>
          <w:lang w:val="zh-CN"/>
        </w:rPr>
        <w:t>7</w:t>
      </w:r>
      <w:r>
        <w:rPr>
          <w:rFonts w:hint="eastAsia" w:ascii="仿宋_GB2312" w:hAnsi="??" w:eastAsia="仿宋_GB2312" w:cs="仿宋_GB2312"/>
          <w:kern w:val="0"/>
          <w:sz w:val="32"/>
          <w:szCs w:val="32"/>
          <w:lang w:val="zh-CN"/>
        </w:rPr>
        <w:t>项，科技成果转化成交额近</w:t>
      </w:r>
      <w:r>
        <w:rPr>
          <w:rFonts w:ascii="仿宋_GB2312" w:hAnsi="??" w:eastAsia="仿宋_GB2312" w:cs="仿宋_GB2312"/>
          <w:kern w:val="0"/>
          <w:sz w:val="32"/>
          <w:szCs w:val="32"/>
          <w:lang w:val="zh-CN"/>
        </w:rPr>
        <w:t>400</w:t>
      </w:r>
      <w:r>
        <w:rPr>
          <w:rFonts w:hint="eastAsia" w:ascii="仿宋_GB2312" w:hAnsi="??" w:eastAsia="仿宋_GB2312" w:cs="仿宋_GB2312"/>
          <w:kern w:val="0"/>
          <w:sz w:val="32"/>
          <w:szCs w:val="32"/>
          <w:lang w:val="zh-CN"/>
        </w:rPr>
        <w:t>万元，创历史最高。</w:t>
      </w:r>
      <w:r>
        <w:rPr>
          <w:rFonts w:hint="eastAsia" w:ascii="仿宋_GB2312" w:eastAsia="仿宋_GB2312" w:cs="仿宋_GB2312"/>
          <w:sz w:val="32"/>
          <w:szCs w:val="32"/>
        </w:rPr>
        <w:t>卫生检验中心高质量通过</w:t>
      </w:r>
      <w:r>
        <w:rPr>
          <w:rFonts w:hint="eastAsia" w:ascii="仿宋_GB2312" w:hAnsi="??" w:eastAsia="仿宋_GB2312" w:cs="仿宋_GB2312"/>
          <w:kern w:val="0"/>
          <w:sz w:val="32"/>
          <w:szCs w:val="32"/>
          <w:lang w:val="zh-CN"/>
        </w:rPr>
        <w:t>国家认可委员会</w:t>
      </w:r>
      <w:r>
        <w:rPr>
          <w:rFonts w:hint="eastAsia" w:ascii="仿宋_GB2312" w:eastAsia="仿宋_GB2312" w:cs="仿宋_GB2312"/>
          <w:sz w:val="32"/>
          <w:szCs w:val="32"/>
        </w:rPr>
        <w:t>评审，</w:t>
      </w:r>
      <w:r>
        <w:rPr>
          <w:rFonts w:ascii="仿宋_GB2312" w:eastAsia="仿宋_GB2312" w:cs="仿宋_GB2312"/>
          <w:sz w:val="32"/>
          <w:szCs w:val="32"/>
        </w:rPr>
        <w:t>11</w:t>
      </w:r>
      <w:r>
        <w:rPr>
          <w:rFonts w:hint="eastAsia" w:ascii="仿宋_GB2312" w:eastAsia="仿宋_GB2312" w:cs="仿宋_GB2312"/>
          <w:sz w:val="32"/>
          <w:szCs w:val="32"/>
        </w:rPr>
        <w:t>大类</w:t>
      </w:r>
      <w:r>
        <w:rPr>
          <w:rFonts w:ascii="仿宋_GB2312" w:eastAsia="仿宋_GB2312" w:cs="仿宋_GB2312"/>
          <w:sz w:val="32"/>
          <w:szCs w:val="32"/>
        </w:rPr>
        <w:t>236</w:t>
      </w:r>
      <w:r>
        <w:rPr>
          <w:rFonts w:hint="eastAsia" w:ascii="仿宋_GB2312" w:eastAsia="仿宋_GB2312" w:cs="仿宋_GB2312"/>
          <w:sz w:val="32"/>
          <w:szCs w:val="32"/>
        </w:rPr>
        <w:t>个项目符合国家实验室认可要求。</w:t>
      </w:r>
      <w:r>
        <w:rPr>
          <w:rFonts w:hint="eastAsia" w:ascii="仿宋_GB2312" w:hAnsi="??" w:eastAsia="仿宋_GB2312" w:cs="仿宋_GB2312"/>
          <w:kern w:val="0"/>
          <w:sz w:val="32"/>
          <w:szCs w:val="32"/>
          <w:lang w:val="zh-CN"/>
        </w:rPr>
        <w:t>积极开展学术交流活动，</w:t>
      </w:r>
      <w:r>
        <w:rPr>
          <w:rFonts w:hint="eastAsia" w:ascii="仿宋_GB2312" w:eastAsia="仿宋_GB2312" w:cs="仿宋_GB2312"/>
          <w:sz w:val="32"/>
          <w:szCs w:val="32"/>
        </w:rPr>
        <w:t>承办</w:t>
      </w:r>
      <w:r>
        <w:rPr>
          <w:rFonts w:hint="eastAsia" w:ascii="仿宋_GB2312" w:hAnsi="??" w:eastAsia="仿宋_GB2312" w:cs="仿宋_GB2312"/>
          <w:kern w:val="0"/>
          <w:sz w:val="32"/>
          <w:szCs w:val="32"/>
          <w:lang w:val="zh-CN"/>
        </w:rPr>
        <w:t>中国罕见病</w:t>
      </w:r>
      <w:r>
        <w:rPr>
          <w:rFonts w:ascii="仿宋_GB2312" w:hAnsi="??" w:eastAsia="仿宋_GB2312" w:cs="仿宋_GB2312"/>
          <w:kern w:val="0"/>
          <w:sz w:val="32"/>
          <w:szCs w:val="32"/>
          <w:lang w:val="zh-CN"/>
        </w:rPr>
        <w:t>/</w:t>
      </w:r>
      <w:r>
        <w:rPr>
          <w:rFonts w:hint="eastAsia" w:ascii="仿宋_GB2312" w:hAnsi="??" w:eastAsia="仿宋_GB2312" w:cs="仿宋_GB2312"/>
          <w:kern w:val="0"/>
          <w:sz w:val="32"/>
          <w:szCs w:val="32"/>
          <w:lang w:val="zh-CN"/>
        </w:rPr>
        <w:t>孤儿药定义第二次多学科专家研讨会、北方医院药学高峰论坛等学术会议，开设“精诚讲堂”，举办学术讲座</w:t>
      </w:r>
      <w:r>
        <w:rPr>
          <w:rFonts w:ascii="仿宋_GB2312" w:hAnsi="??" w:eastAsia="仿宋_GB2312" w:cs="仿宋_GB2312"/>
          <w:kern w:val="0"/>
          <w:sz w:val="32"/>
          <w:szCs w:val="32"/>
          <w:lang w:val="zh-CN"/>
        </w:rPr>
        <w:t>62</w:t>
      </w:r>
      <w:r>
        <w:rPr>
          <w:rFonts w:hint="eastAsia" w:ascii="仿宋_GB2312" w:hAnsi="??" w:eastAsia="仿宋_GB2312" w:cs="仿宋_GB2312"/>
          <w:kern w:val="0"/>
          <w:sz w:val="32"/>
          <w:szCs w:val="32"/>
          <w:lang w:val="zh-CN"/>
        </w:rPr>
        <w:t>场次。学术期刊质量</w:t>
      </w:r>
      <w:r>
        <w:rPr>
          <w:rFonts w:hint="eastAsia" w:ascii="仿宋_GB2312" w:hAnsi="??" w:eastAsia="仿宋_GB2312" w:cs="仿宋_GB2312"/>
          <w:kern w:val="0"/>
          <w:sz w:val="32"/>
          <w:szCs w:val="32"/>
        </w:rPr>
        <w:t>不断</w:t>
      </w:r>
      <w:r>
        <w:rPr>
          <w:rFonts w:hint="eastAsia" w:ascii="仿宋_GB2312" w:hAnsi="??" w:eastAsia="仿宋_GB2312" w:cs="仿宋_GB2312"/>
          <w:kern w:val="0"/>
          <w:sz w:val="32"/>
          <w:szCs w:val="32"/>
          <w:lang w:val="zh-CN"/>
        </w:rPr>
        <w:t>提高，《中华现代护理杂志》《神经疾病与精神卫生》《齐齐哈尔医学院学报》全年出版</w:t>
      </w:r>
      <w:r>
        <w:rPr>
          <w:rFonts w:ascii="仿宋_GB2312" w:hAnsi="??" w:eastAsia="仿宋_GB2312" w:cs="仿宋_GB2312"/>
          <w:kern w:val="0"/>
          <w:sz w:val="32"/>
          <w:szCs w:val="32"/>
          <w:lang w:val="zh-CN"/>
        </w:rPr>
        <w:t>72</w:t>
      </w:r>
      <w:r>
        <w:rPr>
          <w:rFonts w:hint="eastAsia" w:ascii="仿宋_GB2312" w:hAnsi="??" w:eastAsia="仿宋_GB2312" w:cs="仿宋_GB2312"/>
          <w:kern w:val="0"/>
          <w:sz w:val="32"/>
          <w:szCs w:val="32"/>
          <w:lang w:val="zh-CN"/>
        </w:rPr>
        <w:t>期，刊发基金论文</w:t>
      </w:r>
      <w:r>
        <w:rPr>
          <w:rFonts w:ascii="仿宋_GB2312" w:hAnsi="??" w:eastAsia="仿宋_GB2312" w:cs="仿宋_GB2312"/>
          <w:kern w:val="0"/>
          <w:sz w:val="32"/>
          <w:szCs w:val="32"/>
          <w:lang w:val="zh-CN"/>
        </w:rPr>
        <w:t>919</w:t>
      </w:r>
      <w:r>
        <w:rPr>
          <w:rFonts w:hint="eastAsia" w:ascii="仿宋_GB2312" w:hAnsi="??" w:eastAsia="仿宋_GB2312" w:cs="仿宋_GB2312"/>
          <w:kern w:val="0"/>
          <w:sz w:val="32"/>
          <w:szCs w:val="32"/>
          <w:lang w:val="zh-CN"/>
        </w:rPr>
        <w:t>篇。</w:t>
      </w:r>
    </w:p>
    <w:p>
      <w:pPr>
        <w:autoSpaceDE w:val="0"/>
        <w:autoSpaceDN w:val="0"/>
        <w:adjustRightInd w:val="0"/>
        <w:spacing w:line="360" w:lineRule="auto"/>
        <w:ind w:firstLine="640" w:firstLineChars="200"/>
        <w:rPr>
          <w:rFonts w:ascii="仿宋_GB2312" w:eastAsia="仿宋_GB2312"/>
          <w:sz w:val="32"/>
          <w:szCs w:val="32"/>
        </w:rPr>
      </w:pPr>
      <w:r>
        <w:rPr>
          <w:rFonts w:hint="eastAsia" w:ascii="仿宋_GB2312" w:eastAsia="仿宋_GB2312" w:cs="仿宋_GB2312"/>
          <w:sz w:val="32"/>
          <w:szCs w:val="32"/>
        </w:rPr>
        <w:t>过去的一年，附属医疗机构核心竞争力迈上新台阶。</w:t>
      </w:r>
      <w:r>
        <w:rPr>
          <w:rFonts w:hint="eastAsia" w:ascii="仿宋_GB2312" w:hAnsi="??" w:eastAsia="仿宋_GB2312" w:cs="仿宋_GB2312"/>
          <w:kern w:val="0"/>
          <w:sz w:val="32"/>
          <w:szCs w:val="32"/>
          <w:lang w:val="zh-CN"/>
        </w:rPr>
        <w:t>医疗服务克服疫情不利影响，实现恢复性增长，</w:t>
      </w:r>
      <w:r>
        <w:rPr>
          <w:rFonts w:hint="eastAsia" w:ascii="仿宋_GB2312" w:hAnsi="??" w:eastAsia="仿宋_GB2312" w:cs="仿宋_GB2312"/>
          <w:kern w:val="0"/>
          <w:sz w:val="32"/>
          <w:szCs w:val="32"/>
        </w:rPr>
        <w:t>各项指标逐步达到或超过</w:t>
      </w:r>
      <w:r>
        <w:rPr>
          <w:rFonts w:hint="eastAsia" w:ascii="仿宋_GB2312" w:hAnsi="??" w:eastAsia="仿宋_GB2312" w:cs="仿宋_GB2312"/>
          <w:kern w:val="0"/>
          <w:sz w:val="32"/>
          <w:szCs w:val="32"/>
          <w:lang w:val="zh-CN"/>
        </w:rPr>
        <w:t>疫情前水平。</w:t>
      </w:r>
      <w:r>
        <w:rPr>
          <w:rFonts w:hint="eastAsia" w:ascii="仿宋_GB2312" w:eastAsia="仿宋_GB2312" w:cs="仿宋_GB2312"/>
          <w:sz w:val="32"/>
          <w:szCs w:val="32"/>
        </w:rPr>
        <w:t>全年总收入</w:t>
      </w:r>
      <w:r>
        <w:rPr>
          <w:rFonts w:ascii="仿宋_GB2312" w:eastAsia="仿宋_GB2312" w:cs="仿宋_GB2312"/>
          <w:sz w:val="32"/>
          <w:szCs w:val="32"/>
        </w:rPr>
        <w:t>19.35</w:t>
      </w:r>
      <w:r>
        <w:rPr>
          <w:rFonts w:hint="eastAsia" w:ascii="仿宋_GB2312" w:eastAsia="仿宋_GB2312" w:cs="仿宋_GB2312"/>
          <w:sz w:val="32"/>
          <w:szCs w:val="32"/>
        </w:rPr>
        <w:t>亿元，同比增长</w:t>
      </w:r>
      <w:r>
        <w:rPr>
          <w:rFonts w:ascii="仿宋_GB2312" w:eastAsia="仿宋_GB2312" w:cs="仿宋_GB2312"/>
          <w:sz w:val="32"/>
          <w:szCs w:val="32"/>
        </w:rPr>
        <w:t>19.81%</w:t>
      </w:r>
      <w:r>
        <w:rPr>
          <w:rFonts w:hint="eastAsia" w:ascii="仿宋_GB2312" w:hAnsi="??" w:eastAsia="仿宋_GB2312" w:cs="仿宋_GB2312"/>
          <w:kern w:val="0"/>
          <w:sz w:val="32"/>
          <w:szCs w:val="32"/>
          <w:lang w:val="zh-CN"/>
        </w:rPr>
        <w:t>。全年门诊量</w:t>
      </w:r>
      <w:r>
        <w:rPr>
          <w:rFonts w:ascii="仿宋_GB2312" w:hAnsi="??" w:eastAsia="仿宋_GB2312" w:cs="仿宋_GB2312"/>
          <w:kern w:val="0"/>
          <w:sz w:val="32"/>
          <w:szCs w:val="32"/>
          <w:lang w:val="zh-CN"/>
        </w:rPr>
        <w:t>150.71</w:t>
      </w:r>
      <w:r>
        <w:rPr>
          <w:rFonts w:hint="eastAsia" w:ascii="仿宋_GB2312" w:hAnsi="??" w:eastAsia="仿宋_GB2312" w:cs="仿宋_GB2312"/>
          <w:kern w:val="0"/>
          <w:sz w:val="32"/>
          <w:szCs w:val="32"/>
          <w:lang w:val="zh-CN"/>
        </w:rPr>
        <w:t>万人次，出院患者</w:t>
      </w:r>
      <w:r>
        <w:rPr>
          <w:rFonts w:ascii="仿宋_GB2312" w:hAnsi="??" w:eastAsia="仿宋_GB2312" w:cs="仿宋_GB2312"/>
          <w:kern w:val="0"/>
          <w:sz w:val="32"/>
          <w:szCs w:val="32"/>
          <w:lang w:val="zh-CN"/>
        </w:rPr>
        <w:t>10.93</w:t>
      </w:r>
      <w:r>
        <w:rPr>
          <w:rFonts w:hint="eastAsia" w:ascii="仿宋_GB2312" w:hAnsi="??" w:eastAsia="仿宋_GB2312" w:cs="仿宋_GB2312"/>
          <w:kern w:val="0"/>
          <w:sz w:val="32"/>
          <w:szCs w:val="32"/>
          <w:lang w:val="zh-CN"/>
        </w:rPr>
        <w:t>万人次，开展手术</w:t>
      </w:r>
      <w:r>
        <w:rPr>
          <w:rFonts w:ascii="仿宋_GB2312" w:hAnsi="??" w:eastAsia="仿宋_GB2312" w:cs="仿宋_GB2312"/>
          <w:kern w:val="0"/>
          <w:sz w:val="32"/>
          <w:szCs w:val="32"/>
          <w:lang w:val="zh-CN"/>
        </w:rPr>
        <w:t>2.01</w:t>
      </w:r>
      <w:r>
        <w:rPr>
          <w:rFonts w:hint="eastAsia" w:ascii="仿宋_GB2312" w:hAnsi="??" w:eastAsia="仿宋_GB2312" w:cs="仿宋_GB2312"/>
          <w:kern w:val="0"/>
          <w:sz w:val="32"/>
          <w:szCs w:val="32"/>
          <w:lang w:val="zh-CN"/>
        </w:rPr>
        <w:t>万例。临床病理诊断中心实现收入</w:t>
      </w:r>
      <w:r>
        <w:rPr>
          <w:rFonts w:ascii="仿宋_GB2312" w:hAnsi="??" w:eastAsia="仿宋_GB2312" w:cs="仿宋_GB2312"/>
          <w:kern w:val="0"/>
          <w:sz w:val="32"/>
          <w:szCs w:val="32"/>
          <w:lang w:val="zh-CN"/>
        </w:rPr>
        <w:t>1092</w:t>
      </w:r>
      <w:r>
        <w:rPr>
          <w:rFonts w:hint="eastAsia" w:ascii="仿宋_GB2312" w:hAnsi="??" w:eastAsia="仿宋_GB2312" w:cs="仿宋_GB2312"/>
          <w:kern w:val="0"/>
          <w:sz w:val="32"/>
          <w:szCs w:val="32"/>
          <w:lang w:val="zh-CN"/>
        </w:rPr>
        <w:t>万元，同比</w:t>
      </w:r>
      <w:r>
        <w:rPr>
          <w:rFonts w:hint="eastAsia" w:ascii="仿宋_GB2312" w:eastAsia="仿宋_GB2312" w:cs="仿宋_GB2312"/>
          <w:sz w:val="32"/>
          <w:szCs w:val="32"/>
        </w:rPr>
        <w:t>增长</w:t>
      </w:r>
      <w:r>
        <w:rPr>
          <w:rFonts w:ascii="仿宋_GB2312" w:eastAsia="仿宋_GB2312" w:cs="仿宋_GB2312"/>
          <w:sz w:val="32"/>
          <w:szCs w:val="32"/>
        </w:rPr>
        <w:t>42.19%</w:t>
      </w:r>
      <w:r>
        <w:rPr>
          <w:rFonts w:hint="eastAsia" w:ascii="仿宋_GB2312" w:hAnsi="??" w:eastAsia="仿宋_GB2312" w:cs="仿宋_GB2312"/>
          <w:kern w:val="0"/>
          <w:sz w:val="32"/>
          <w:szCs w:val="32"/>
          <w:lang w:val="zh-CN"/>
        </w:rPr>
        <w:t>。</w:t>
      </w:r>
      <w:r>
        <w:rPr>
          <w:rFonts w:hint="eastAsia" w:ascii="仿宋_GB2312" w:eastAsia="仿宋_GB2312" w:cs="仿宋_GB2312"/>
          <w:sz w:val="32"/>
          <w:szCs w:val="32"/>
        </w:rPr>
        <w:t>学术型医院建设深入实施，附属医院全年获得各级各类科研项目</w:t>
      </w:r>
      <w:r>
        <w:rPr>
          <w:rFonts w:ascii="仿宋_GB2312" w:eastAsia="仿宋_GB2312" w:cs="仿宋_GB2312"/>
          <w:sz w:val="32"/>
          <w:szCs w:val="32"/>
        </w:rPr>
        <w:t>169</w:t>
      </w:r>
      <w:r>
        <w:rPr>
          <w:rFonts w:hint="eastAsia" w:ascii="仿宋_GB2312" w:eastAsia="仿宋_GB2312" w:cs="仿宋_GB2312"/>
          <w:sz w:val="32"/>
          <w:szCs w:val="32"/>
        </w:rPr>
        <w:t>项，发表论文</w:t>
      </w:r>
      <w:r>
        <w:rPr>
          <w:rFonts w:ascii="仿宋_GB2312" w:eastAsia="仿宋_GB2312" w:cs="仿宋_GB2312"/>
          <w:sz w:val="32"/>
          <w:szCs w:val="32"/>
        </w:rPr>
        <w:t>342</w:t>
      </w:r>
      <w:r>
        <w:rPr>
          <w:rFonts w:hint="eastAsia" w:ascii="仿宋_GB2312" w:eastAsia="仿宋_GB2312" w:cs="仿宋_GB2312"/>
          <w:sz w:val="32"/>
          <w:szCs w:val="32"/>
        </w:rPr>
        <w:t>篇，被</w:t>
      </w:r>
      <w:r>
        <w:rPr>
          <w:rFonts w:ascii="仿宋_GB2312" w:eastAsia="仿宋_GB2312" w:cs="仿宋_GB2312"/>
          <w:sz w:val="32"/>
          <w:szCs w:val="32"/>
        </w:rPr>
        <w:t>SCI</w:t>
      </w:r>
      <w:r>
        <w:rPr>
          <w:rFonts w:hint="eastAsia" w:ascii="仿宋_GB2312" w:eastAsia="仿宋_GB2312" w:cs="仿宋_GB2312"/>
          <w:sz w:val="32"/>
          <w:szCs w:val="32"/>
        </w:rPr>
        <w:t>收录</w:t>
      </w:r>
      <w:r>
        <w:rPr>
          <w:rFonts w:ascii="仿宋_GB2312" w:eastAsia="仿宋_GB2312" w:cs="仿宋_GB2312"/>
          <w:sz w:val="32"/>
          <w:szCs w:val="32"/>
        </w:rPr>
        <w:t>86</w:t>
      </w:r>
      <w:r>
        <w:rPr>
          <w:rFonts w:hint="eastAsia" w:ascii="仿宋_GB2312" w:hAnsi="??" w:eastAsia="仿宋_GB2312" w:cs="仿宋_GB2312"/>
          <w:kern w:val="0"/>
          <w:sz w:val="32"/>
          <w:szCs w:val="32"/>
          <w:lang w:val="zh-CN"/>
        </w:rPr>
        <w:t>篇。持续提升医疗技术水平，荣获省医疗卫生新技术</w:t>
      </w:r>
      <w:r>
        <w:rPr>
          <w:rFonts w:ascii="仿宋_GB2312" w:hAnsi="??" w:eastAsia="仿宋_GB2312" w:cs="仿宋_GB2312"/>
          <w:kern w:val="0"/>
          <w:sz w:val="32"/>
          <w:szCs w:val="32"/>
          <w:lang w:val="zh-CN"/>
        </w:rPr>
        <w:t>I</w:t>
      </w:r>
      <w:r>
        <w:rPr>
          <w:rFonts w:hint="eastAsia" w:ascii="仿宋_GB2312" w:hAnsi="??" w:eastAsia="仿宋_GB2312" w:cs="仿宋_GB2312"/>
          <w:kern w:val="0"/>
          <w:sz w:val="32"/>
          <w:szCs w:val="32"/>
          <w:lang w:val="zh-CN"/>
        </w:rPr>
        <w:t>类推广项目</w:t>
      </w:r>
      <w:r>
        <w:rPr>
          <w:rFonts w:ascii="仿宋_GB2312" w:hAnsi="??" w:eastAsia="仿宋_GB2312" w:cs="仿宋_GB2312"/>
          <w:kern w:val="0"/>
          <w:sz w:val="32"/>
          <w:szCs w:val="32"/>
          <w:lang w:val="zh-CN"/>
        </w:rPr>
        <w:t>6</w:t>
      </w:r>
      <w:r>
        <w:rPr>
          <w:rFonts w:hint="eastAsia" w:ascii="仿宋_GB2312" w:hAnsi="??" w:eastAsia="仿宋_GB2312" w:cs="仿宋_GB2312"/>
          <w:kern w:val="0"/>
          <w:sz w:val="32"/>
          <w:szCs w:val="32"/>
          <w:lang w:val="zh-CN"/>
        </w:rPr>
        <w:t>项、</w:t>
      </w:r>
      <w:r>
        <w:rPr>
          <w:rFonts w:ascii="仿宋_GB2312" w:hAnsi="??" w:eastAsia="仿宋_GB2312" w:cs="仿宋_GB2312"/>
          <w:kern w:val="0"/>
          <w:sz w:val="32"/>
          <w:szCs w:val="32"/>
          <w:lang w:val="zh-CN"/>
        </w:rPr>
        <w:t>II</w:t>
      </w:r>
      <w:r>
        <w:rPr>
          <w:rFonts w:hint="eastAsia" w:ascii="仿宋_GB2312" w:hAnsi="??" w:eastAsia="仿宋_GB2312" w:cs="仿宋_GB2312"/>
          <w:kern w:val="0"/>
          <w:sz w:val="32"/>
          <w:szCs w:val="32"/>
          <w:lang w:val="zh-CN"/>
        </w:rPr>
        <w:t>类推广项目</w:t>
      </w:r>
      <w:r>
        <w:rPr>
          <w:rFonts w:ascii="仿宋_GB2312" w:hAnsi="??" w:eastAsia="仿宋_GB2312" w:cs="仿宋_GB2312"/>
          <w:kern w:val="0"/>
          <w:sz w:val="32"/>
          <w:szCs w:val="32"/>
          <w:lang w:val="zh-CN"/>
        </w:rPr>
        <w:t>18</w:t>
      </w:r>
      <w:r>
        <w:rPr>
          <w:rFonts w:hint="eastAsia" w:ascii="仿宋_GB2312" w:hAnsi="??" w:eastAsia="仿宋_GB2312" w:cs="仿宋_GB2312"/>
          <w:kern w:val="0"/>
          <w:sz w:val="32"/>
          <w:szCs w:val="32"/>
          <w:lang w:val="zh-CN"/>
        </w:rPr>
        <w:t>项、</w:t>
      </w:r>
      <w:r>
        <w:rPr>
          <w:rFonts w:ascii="仿宋_GB2312" w:hAnsi="??" w:eastAsia="仿宋_GB2312" w:cs="仿宋_GB2312"/>
          <w:kern w:val="0"/>
          <w:sz w:val="32"/>
          <w:szCs w:val="32"/>
          <w:lang w:val="zh-CN"/>
        </w:rPr>
        <w:t>III</w:t>
      </w:r>
      <w:r>
        <w:rPr>
          <w:rFonts w:hint="eastAsia" w:ascii="仿宋_GB2312" w:hAnsi="??" w:eastAsia="仿宋_GB2312" w:cs="仿宋_GB2312"/>
          <w:kern w:val="0"/>
          <w:sz w:val="32"/>
          <w:szCs w:val="32"/>
          <w:lang w:val="zh-CN"/>
        </w:rPr>
        <w:t>类推广项目</w:t>
      </w:r>
      <w:r>
        <w:rPr>
          <w:rFonts w:ascii="仿宋_GB2312" w:hAnsi="??" w:eastAsia="仿宋_GB2312" w:cs="仿宋_GB2312"/>
          <w:kern w:val="0"/>
          <w:sz w:val="32"/>
          <w:szCs w:val="32"/>
          <w:lang w:val="zh-CN"/>
        </w:rPr>
        <w:t>9</w:t>
      </w:r>
      <w:r>
        <w:rPr>
          <w:rFonts w:hint="eastAsia" w:ascii="仿宋_GB2312" w:hAnsi="??" w:eastAsia="仿宋_GB2312" w:cs="仿宋_GB2312"/>
          <w:kern w:val="0"/>
          <w:sz w:val="32"/>
          <w:szCs w:val="32"/>
          <w:lang w:val="zh-CN"/>
        </w:rPr>
        <w:t>项和省中医新技术应用奖一等奖</w:t>
      </w:r>
      <w:r>
        <w:rPr>
          <w:rFonts w:ascii="仿宋_GB2312" w:hAnsi="??" w:eastAsia="仿宋_GB2312" w:cs="仿宋_GB2312"/>
          <w:kern w:val="0"/>
          <w:sz w:val="32"/>
          <w:szCs w:val="32"/>
          <w:lang w:val="zh-CN"/>
        </w:rPr>
        <w:t>1</w:t>
      </w:r>
      <w:r>
        <w:rPr>
          <w:rFonts w:hint="eastAsia" w:ascii="仿宋_GB2312" w:hAnsi="??" w:eastAsia="仿宋_GB2312" w:cs="仿宋_GB2312"/>
          <w:kern w:val="0"/>
          <w:sz w:val="32"/>
          <w:szCs w:val="32"/>
          <w:lang w:val="zh-CN"/>
        </w:rPr>
        <w:t>项，命名表彰第三届学院名医</w:t>
      </w:r>
      <w:r>
        <w:rPr>
          <w:rFonts w:ascii="仿宋_GB2312" w:hAnsi="??" w:eastAsia="仿宋_GB2312" w:cs="仿宋_GB2312"/>
          <w:kern w:val="0"/>
          <w:sz w:val="32"/>
          <w:szCs w:val="32"/>
          <w:lang w:val="zh-CN"/>
        </w:rPr>
        <w:t>15</w:t>
      </w:r>
      <w:r>
        <w:rPr>
          <w:rFonts w:hint="eastAsia" w:ascii="仿宋_GB2312" w:hAnsi="??" w:eastAsia="仿宋_GB2312" w:cs="仿宋_GB2312"/>
          <w:kern w:val="0"/>
          <w:sz w:val="32"/>
          <w:szCs w:val="32"/>
        </w:rPr>
        <w:t>人。加强临床重点专科建设，</w:t>
      </w:r>
      <w:r>
        <w:rPr>
          <w:rFonts w:hint="eastAsia" w:ascii="仿宋_GB2312" w:hAnsi="仿宋" w:eastAsia="仿宋_GB2312" w:cs="仿宋_GB2312"/>
          <w:kern w:val="0"/>
          <w:sz w:val="32"/>
          <w:szCs w:val="32"/>
        </w:rPr>
        <w:t>组织召开了临床重点专科建设研讨会，出台了《学院临床重点专科建设管理办法》，通过对临床重点专科实行分级管理和目标管理，使专科建设管理逐步科学化、规范化。</w:t>
      </w:r>
      <w:r>
        <w:rPr>
          <w:rFonts w:hint="eastAsia" w:ascii="仿宋_GB2312" w:eastAsia="仿宋_GB2312" w:cs="仿宋_GB2312"/>
          <w:sz w:val="32"/>
          <w:szCs w:val="32"/>
        </w:rPr>
        <w:t>附属医疗机构区域影响力不断提升，</w:t>
      </w:r>
      <w:r>
        <w:rPr>
          <w:rFonts w:hint="eastAsia" w:ascii="仿宋_GB2312" w:hAnsi="??" w:eastAsia="仿宋_GB2312" w:cs="仿宋_GB2312"/>
          <w:kern w:val="0"/>
          <w:sz w:val="32"/>
          <w:szCs w:val="32"/>
          <w:lang w:val="zh-CN"/>
        </w:rPr>
        <w:t>附属一院</w:t>
      </w:r>
      <w:r>
        <w:rPr>
          <w:rFonts w:hint="eastAsia" w:ascii="仿宋_GB2312" w:hAnsi="仿宋_GB2312" w:eastAsia="仿宋_GB2312" w:cs="仿宋_GB2312"/>
          <w:sz w:val="32"/>
          <w:szCs w:val="32"/>
          <w:lang w:val="zh-CN"/>
        </w:rPr>
        <w:t>《紧密型医联体“梅里斯模式”的实践研究》获中国医院协会、健康界</w:t>
      </w:r>
      <w:r>
        <w:rPr>
          <w:rFonts w:ascii="仿宋_GB2312" w:hAnsi="仿宋_GB2312" w:eastAsia="仿宋_GB2312" w:cs="仿宋_GB2312"/>
          <w:sz w:val="32"/>
          <w:szCs w:val="32"/>
          <w:lang w:val="zh-CN"/>
        </w:rPr>
        <w:t>2021</w:t>
      </w:r>
      <w:r>
        <w:rPr>
          <w:rFonts w:hint="eastAsia" w:ascii="仿宋_GB2312" w:hAnsi="仿宋_GB2312" w:eastAsia="仿宋_GB2312" w:cs="仿宋_GB2312"/>
          <w:sz w:val="32"/>
          <w:szCs w:val="32"/>
          <w:lang w:val="zh-CN"/>
        </w:rPr>
        <w:t>年度“城市医疗集团新锐奖”，《紧密型医联体“梅里斯模式”》入选龙江医改十大典型案例。</w:t>
      </w:r>
      <w:r>
        <w:rPr>
          <w:rFonts w:hint="eastAsia" w:ascii="仿宋_GB2312" w:eastAsia="仿宋_GB2312" w:cs="仿宋_GB2312"/>
          <w:sz w:val="32"/>
          <w:szCs w:val="32"/>
        </w:rPr>
        <w:t>附属二院</w:t>
      </w:r>
      <w:r>
        <w:rPr>
          <w:rFonts w:hint="eastAsia" w:ascii="仿宋_GB2312" w:hAnsi="??" w:eastAsia="仿宋_GB2312" w:cs="仿宋_GB2312"/>
          <w:kern w:val="0"/>
          <w:sz w:val="32"/>
          <w:szCs w:val="32"/>
          <w:lang w:val="zh-CN"/>
        </w:rPr>
        <w:t>胸痛中心等</w:t>
      </w:r>
      <w:r>
        <w:rPr>
          <w:rFonts w:ascii="仿宋_GB2312" w:hAnsi="??" w:eastAsia="仿宋_GB2312" w:cs="仿宋_GB2312"/>
          <w:kern w:val="0"/>
          <w:sz w:val="32"/>
          <w:szCs w:val="32"/>
          <w:lang w:val="zh-CN"/>
        </w:rPr>
        <w:t>4</w:t>
      </w:r>
      <w:r>
        <w:rPr>
          <w:rFonts w:hint="eastAsia" w:ascii="仿宋_GB2312" w:hAnsi="??" w:eastAsia="仿宋_GB2312" w:cs="仿宋_GB2312"/>
          <w:kern w:val="0"/>
          <w:sz w:val="32"/>
          <w:szCs w:val="32"/>
          <w:lang w:val="zh-CN"/>
        </w:rPr>
        <w:t>个中心</w:t>
      </w:r>
      <w:r>
        <w:rPr>
          <w:rFonts w:hint="eastAsia" w:ascii="仿宋_GB2312" w:hAnsi="??" w:eastAsia="仿宋_GB2312" w:cs="仿宋_GB2312"/>
          <w:kern w:val="0"/>
          <w:sz w:val="32"/>
          <w:szCs w:val="32"/>
        </w:rPr>
        <w:t>成为</w:t>
      </w:r>
      <w:r>
        <w:rPr>
          <w:rFonts w:hint="eastAsia" w:ascii="仿宋_GB2312" w:hAnsi="??" w:eastAsia="仿宋_GB2312" w:cs="仿宋_GB2312"/>
          <w:kern w:val="0"/>
          <w:sz w:val="32"/>
          <w:szCs w:val="32"/>
          <w:lang w:val="zh-CN"/>
        </w:rPr>
        <w:t>国家标准化中心建设单位，</w:t>
      </w:r>
      <w:r>
        <w:rPr>
          <w:rFonts w:hint="eastAsia" w:ascii="仿宋_GB2312" w:eastAsia="仿宋_GB2312" w:cs="仿宋_GB2312"/>
          <w:sz w:val="32"/>
          <w:szCs w:val="32"/>
        </w:rPr>
        <w:t>成功开展自体造血干细胞移植治疗技术，填补了黑龙江省西部地区骨髓移植技术的空白。附属三院肿瘤专业获批“国家临床重点专科建设项目”，是齐齐哈尔市首家获批该项目的医院；成为我省首家通过信息化建设验收的省级区域医疗中心、荣获“互联互通四级甲等”荣誉的医院；</w:t>
      </w:r>
      <w:r>
        <w:rPr>
          <w:rFonts w:hint="eastAsia" w:ascii="仿宋_GB2312" w:hAnsi="??" w:eastAsia="仿宋_GB2312" w:cs="仿宋_GB2312"/>
          <w:kern w:val="0"/>
          <w:sz w:val="32"/>
          <w:szCs w:val="32"/>
          <w:lang w:val="zh-CN"/>
        </w:rPr>
        <w:t>成立了北京同仁医院李云川名医工作室、北京世纪坛医院岳振东名医工作室。</w:t>
      </w:r>
      <w:r>
        <w:rPr>
          <w:rFonts w:hint="eastAsia" w:ascii="仿宋_GB2312" w:eastAsia="仿宋_GB2312" w:cs="仿宋_GB2312"/>
          <w:sz w:val="32"/>
          <w:szCs w:val="32"/>
        </w:rPr>
        <w:t>临床病理诊断中心与华大基因等多家科研院所建立了标准分子检测平台，临床分子诊疗进入了精准时代。</w:t>
      </w:r>
    </w:p>
    <w:p>
      <w:pPr>
        <w:spacing w:line="360" w:lineRule="auto"/>
        <w:ind w:firstLine="640" w:firstLineChars="200"/>
        <w:rPr>
          <w:rFonts w:ascii="仿宋_GB2312" w:eastAsia="仿宋_GB2312"/>
          <w:sz w:val="32"/>
          <w:szCs w:val="32"/>
        </w:rPr>
      </w:pPr>
      <w:r>
        <w:rPr>
          <w:rFonts w:hint="eastAsia" w:ascii="仿宋_GB2312" w:eastAsia="仿宋_GB2312" w:cs="仿宋_GB2312"/>
          <w:sz w:val="32"/>
          <w:szCs w:val="32"/>
        </w:rPr>
        <w:t>过去的一年，师资队伍建设取得新成效。</w:t>
      </w:r>
      <w:r>
        <w:rPr>
          <w:rFonts w:hint="eastAsia" w:ascii="仿宋_GB2312" w:hAnsi="??" w:eastAsia="仿宋_GB2312" w:cs="仿宋_GB2312"/>
          <w:kern w:val="0"/>
          <w:sz w:val="32"/>
          <w:szCs w:val="32"/>
        </w:rPr>
        <w:t>全年公开招聘博士研究生、硕士研究生</w:t>
      </w:r>
      <w:r>
        <w:rPr>
          <w:rFonts w:ascii="仿宋_GB2312" w:hAnsi="??" w:eastAsia="仿宋_GB2312" w:cs="仿宋_GB2312"/>
          <w:kern w:val="0"/>
          <w:sz w:val="32"/>
          <w:szCs w:val="32"/>
        </w:rPr>
        <w:t>53</w:t>
      </w:r>
      <w:r>
        <w:rPr>
          <w:rFonts w:hint="eastAsia" w:ascii="仿宋_GB2312" w:hAnsi="??" w:eastAsia="仿宋_GB2312" w:cs="仿宋_GB2312"/>
          <w:kern w:val="0"/>
          <w:sz w:val="32"/>
          <w:szCs w:val="32"/>
        </w:rPr>
        <w:t>人，并为当年新引进和培养的教学科研岗位博士兑现副高</w:t>
      </w:r>
      <w:r>
        <w:rPr>
          <w:rFonts w:hint="eastAsia" w:ascii="仿宋_GB2312" w:eastAsia="仿宋_GB2312" w:cs="仿宋_GB2312"/>
          <w:sz w:val="32"/>
          <w:szCs w:val="32"/>
        </w:rPr>
        <w:t>级校内岗位津贴和博士学位津贴，发放博士安家费</w:t>
      </w:r>
      <w:r>
        <w:rPr>
          <w:rFonts w:ascii="仿宋_GB2312" w:eastAsia="仿宋_GB2312" w:cs="仿宋_GB2312"/>
          <w:sz w:val="32"/>
          <w:szCs w:val="32"/>
        </w:rPr>
        <w:t>142</w:t>
      </w:r>
      <w:r>
        <w:rPr>
          <w:rFonts w:hint="eastAsia" w:ascii="仿宋_GB2312" w:eastAsia="仿宋_GB2312" w:cs="仿宋_GB2312"/>
          <w:sz w:val="32"/>
          <w:szCs w:val="32"/>
        </w:rPr>
        <w:t>万元。柔性引进高层次人才，聘任首都医科大学、哈尔滨医科大学</w:t>
      </w:r>
      <w:r>
        <w:rPr>
          <w:rFonts w:ascii="仿宋_GB2312" w:eastAsia="仿宋_GB2312" w:cs="仿宋_GB2312"/>
          <w:sz w:val="32"/>
          <w:szCs w:val="32"/>
        </w:rPr>
        <w:t>4</w:t>
      </w:r>
      <w:r>
        <w:rPr>
          <w:rFonts w:hint="eastAsia" w:ascii="仿宋_GB2312" w:eastAsia="仿宋_GB2312" w:cs="仿宋_GB2312"/>
          <w:sz w:val="32"/>
          <w:szCs w:val="32"/>
        </w:rPr>
        <w:t>名教授为学院特聘教授，助推全科医学、基础医学、公共卫生等学科专业建设发展。深化“破五唯”改革，突出教育教学能力、医疗服务水平等工作业绩，评聘教</w:t>
      </w:r>
      <w:r>
        <w:rPr>
          <w:rFonts w:hint="eastAsia" w:ascii="仿宋_GB2312" w:hAnsi="??" w:eastAsia="仿宋_GB2312" w:cs="仿宋_GB2312"/>
          <w:kern w:val="0"/>
          <w:sz w:val="32"/>
          <w:szCs w:val="32"/>
          <w:lang w:val="zh-CN"/>
        </w:rPr>
        <w:t>师系列、卫生系列等</w:t>
      </w:r>
      <w:r>
        <w:rPr>
          <w:rFonts w:hint="eastAsia" w:ascii="仿宋_GB2312" w:eastAsia="仿宋_GB2312" w:cs="仿宋_GB2312"/>
          <w:sz w:val="32"/>
          <w:szCs w:val="32"/>
        </w:rPr>
        <w:t>正高级专业技术职务</w:t>
      </w:r>
      <w:r>
        <w:rPr>
          <w:rFonts w:ascii="仿宋_GB2312" w:eastAsia="仿宋_GB2312" w:cs="仿宋_GB2312"/>
          <w:sz w:val="32"/>
          <w:szCs w:val="32"/>
        </w:rPr>
        <w:t>41</w:t>
      </w:r>
      <w:r>
        <w:rPr>
          <w:rFonts w:hint="eastAsia" w:ascii="仿宋_GB2312" w:eastAsia="仿宋_GB2312" w:cs="仿宋_GB2312"/>
          <w:sz w:val="32"/>
          <w:szCs w:val="32"/>
        </w:rPr>
        <w:t>人、副高级专业技术职务</w:t>
      </w:r>
      <w:r>
        <w:rPr>
          <w:rFonts w:ascii="仿宋_GB2312" w:eastAsia="仿宋_GB2312" w:cs="仿宋_GB2312"/>
          <w:sz w:val="32"/>
          <w:szCs w:val="32"/>
        </w:rPr>
        <w:t>109</w:t>
      </w:r>
      <w:r>
        <w:rPr>
          <w:rFonts w:hint="eastAsia" w:ascii="仿宋_GB2312" w:eastAsia="仿宋_GB2312" w:cs="仿宋_GB2312"/>
          <w:sz w:val="32"/>
          <w:szCs w:val="32"/>
        </w:rPr>
        <w:t>人；</w:t>
      </w:r>
      <w:r>
        <w:rPr>
          <w:rFonts w:ascii="仿宋_GB2312" w:eastAsia="仿宋_GB2312" w:cs="仿宋_GB2312"/>
          <w:sz w:val="32"/>
          <w:szCs w:val="32"/>
        </w:rPr>
        <w:t>7</w:t>
      </w:r>
      <w:r>
        <w:rPr>
          <w:rFonts w:hint="eastAsia" w:ascii="仿宋_GB2312" w:eastAsia="仿宋_GB2312" w:cs="仿宋_GB2312"/>
          <w:sz w:val="32"/>
          <w:szCs w:val="32"/>
        </w:rPr>
        <w:t>名青年教师破格晋升高级职称。落实领导干部联系服务专家制度，优化人才成长环境。持续加强教师培训工作，组织</w:t>
      </w:r>
      <w:r>
        <w:rPr>
          <w:rFonts w:ascii="仿宋_GB2312" w:eastAsia="仿宋_GB2312" w:cs="仿宋_GB2312"/>
          <w:sz w:val="32"/>
          <w:szCs w:val="32"/>
        </w:rPr>
        <w:t>227</w:t>
      </w:r>
      <w:r>
        <w:rPr>
          <w:rFonts w:hint="eastAsia" w:ascii="仿宋_GB2312" w:eastAsia="仿宋_GB2312" w:cs="仿宋_GB2312"/>
          <w:sz w:val="32"/>
          <w:szCs w:val="32"/>
        </w:rPr>
        <w:t>人参加了全省高校教师岗前培训，选派</w:t>
      </w:r>
      <w:r>
        <w:rPr>
          <w:rFonts w:ascii="仿宋_GB2312" w:eastAsia="仿宋_GB2312" w:cs="仿宋_GB2312"/>
          <w:sz w:val="32"/>
          <w:szCs w:val="32"/>
        </w:rPr>
        <w:t>7</w:t>
      </w:r>
      <w:r>
        <w:rPr>
          <w:rFonts w:hint="eastAsia" w:ascii="仿宋_GB2312" w:eastAsia="仿宋_GB2312" w:cs="仿宋_GB2312"/>
          <w:sz w:val="32"/>
          <w:szCs w:val="32"/>
        </w:rPr>
        <w:t>名教师参加国内访学研修、英语专项培训，选派</w:t>
      </w:r>
      <w:r>
        <w:rPr>
          <w:rFonts w:ascii="仿宋_GB2312" w:eastAsia="仿宋_GB2312" w:cs="仿宋_GB2312"/>
          <w:sz w:val="32"/>
          <w:szCs w:val="32"/>
        </w:rPr>
        <w:t>3</w:t>
      </w:r>
      <w:r>
        <w:rPr>
          <w:rFonts w:hint="eastAsia" w:ascii="仿宋_GB2312" w:eastAsia="仿宋_GB2312" w:cs="仿宋_GB2312"/>
          <w:sz w:val="32"/>
          <w:szCs w:val="32"/>
        </w:rPr>
        <w:t>名管理干部到哈尔滨医科大学学习教学、科研、学科管理经验。深化医教协同，举办了</w:t>
      </w:r>
      <w:r>
        <w:rPr>
          <w:rFonts w:ascii="仿宋_GB2312" w:eastAsia="仿宋_GB2312" w:cs="仿宋_GB2312"/>
          <w:sz w:val="32"/>
          <w:szCs w:val="32"/>
        </w:rPr>
        <w:t>2</w:t>
      </w:r>
      <w:r>
        <w:rPr>
          <w:rFonts w:hint="eastAsia" w:ascii="仿宋_GB2312" w:eastAsia="仿宋_GB2312" w:cs="仿宋_GB2312"/>
          <w:sz w:val="32"/>
          <w:szCs w:val="32"/>
        </w:rPr>
        <w:t>期临床教师教学发展工程培训，</w:t>
      </w:r>
      <w:r>
        <w:rPr>
          <w:rFonts w:ascii="仿宋_GB2312" w:eastAsia="仿宋_GB2312" w:cs="仿宋_GB2312"/>
          <w:sz w:val="32"/>
          <w:szCs w:val="32"/>
        </w:rPr>
        <w:t>158</w:t>
      </w:r>
      <w:r>
        <w:rPr>
          <w:rFonts w:hint="eastAsia" w:ascii="仿宋_GB2312" w:eastAsia="仿宋_GB2312" w:cs="仿宋_GB2312"/>
          <w:sz w:val="32"/>
          <w:szCs w:val="32"/>
        </w:rPr>
        <w:t>名教师顺利结业。师资队伍建设成效显著，病理学院董海影教授当选省青年教学名师，</w:t>
      </w:r>
      <w:r>
        <w:rPr>
          <w:rFonts w:ascii="仿宋_GB2312" w:eastAsia="仿宋_GB2312" w:cs="仿宋_GB2312"/>
          <w:sz w:val="32"/>
          <w:szCs w:val="32"/>
        </w:rPr>
        <w:t>8</w:t>
      </w:r>
      <w:r>
        <w:rPr>
          <w:rFonts w:hint="eastAsia" w:ascii="仿宋_GB2312" w:eastAsia="仿宋_GB2312" w:cs="仿宋_GB2312"/>
          <w:sz w:val="32"/>
          <w:szCs w:val="32"/>
        </w:rPr>
        <w:t>人被评为学院第七届教学名师，</w:t>
      </w:r>
      <w:r>
        <w:rPr>
          <w:rFonts w:ascii="仿宋_GB2312" w:eastAsia="仿宋_GB2312" w:cs="仿宋_GB2312"/>
          <w:sz w:val="32"/>
          <w:szCs w:val="32"/>
        </w:rPr>
        <w:t>12</w:t>
      </w:r>
      <w:r>
        <w:rPr>
          <w:rFonts w:hint="eastAsia" w:ascii="仿宋_GB2312" w:eastAsia="仿宋_GB2312" w:cs="仿宋_GB2312"/>
          <w:sz w:val="32"/>
          <w:szCs w:val="32"/>
        </w:rPr>
        <w:t>人被评为教学能手和教学新秀；有近</w:t>
      </w:r>
      <w:r>
        <w:rPr>
          <w:rFonts w:ascii="仿宋_GB2312" w:eastAsia="仿宋_GB2312" w:cs="仿宋_GB2312"/>
          <w:sz w:val="32"/>
          <w:szCs w:val="32"/>
        </w:rPr>
        <w:t>30</w:t>
      </w:r>
      <w:r>
        <w:rPr>
          <w:rFonts w:hint="eastAsia" w:ascii="仿宋_GB2312" w:eastAsia="仿宋_GB2312" w:cs="仿宋_GB2312"/>
          <w:sz w:val="32"/>
          <w:szCs w:val="32"/>
        </w:rPr>
        <w:t>名教师在第三届全国高校混合式教学设计创新大赛、第六届全国高等院校英语教师教学基本功大赛等竞赛中获奖。</w:t>
      </w:r>
    </w:p>
    <w:p>
      <w:pPr>
        <w:autoSpaceDE w:val="0"/>
        <w:autoSpaceDN w:val="0"/>
        <w:adjustRightInd w:val="0"/>
        <w:spacing w:line="360" w:lineRule="auto"/>
        <w:ind w:firstLine="640"/>
        <w:rPr>
          <w:rFonts w:ascii="仿宋_GB2312" w:hAnsi="??" w:eastAsia="仿宋_GB2312"/>
          <w:kern w:val="0"/>
          <w:sz w:val="32"/>
          <w:szCs w:val="32"/>
          <w:lang w:val="zh-CN"/>
        </w:rPr>
      </w:pPr>
      <w:r>
        <w:rPr>
          <w:rFonts w:hint="eastAsia" w:ascii="仿宋_GB2312" w:eastAsia="仿宋_GB2312" w:cs="仿宋_GB2312"/>
          <w:sz w:val="32"/>
          <w:szCs w:val="32"/>
        </w:rPr>
        <w:t>过去的一年，招生就业及学生管理工作取得新进展。招生工作稳中有升，</w:t>
      </w:r>
      <w:r>
        <w:rPr>
          <w:rFonts w:hint="eastAsia" w:ascii="仿宋_GB2312" w:hAnsi="??" w:eastAsia="仿宋_GB2312" w:cs="仿宋_GB2312"/>
          <w:kern w:val="0"/>
          <w:sz w:val="32"/>
          <w:szCs w:val="32"/>
          <w:lang w:val="zh-CN"/>
        </w:rPr>
        <w:t>面向全</w:t>
      </w:r>
      <w:r>
        <w:rPr>
          <w:rFonts w:hint="eastAsia" w:ascii="仿宋_GB2312" w:eastAsia="仿宋_GB2312" w:cs="仿宋_GB2312"/>
          <w:sz w:val="32"/>
          <w:szCs w:val="32"/>
        </w:rPr>
        <w:t>国</w:t>
      </w:r>
      <w:r>
        <w:rPr>
          <w:rFonts w:ascii="仿宋_GB2312" w:eastAsia="仿宋_GB2312" w:cs="仿宋_GB2312"/>
          <w:sz w:val="32"/>
          <w:szCs w:val="32"/>
        </w:rPr>
        <w:t>31</w:t>
      </w:r>
      <w:r>
        <w:rPr>
          <w:rFonts w:hint="eastAsia" w:ascii="仿宋_GB2312" w:eastAsia="仿宋_GB2312" w:cs="仿宋_GB2312"/>
          <w:sz w:val="32"/>
          <w:szCs w:val="32"/>
        </w:rPr>
        <w:t>个省、市、自治区录取考生</w:t>
      </w:r>
      <w:r>
        <w:rPr>
          <w:rFonts w:ascii="仿宋_GB2312" w:eastAsia="仿宋_GB2312" w:cs="仿宋_GB2312"/>
          <w:sz w:val="32"/>
          <w:szCs w:val="32"/>
        </w:rPr>
        <w:t>2781</w:t>
      </w:r>
      <w:r>
        <w:rPr>
          <w:rFonts w:hint="eastAsia" w:ascii="仿宋_GB2312" w:eastAsia="仿宋_GB2312" w:cs="仿宋_GB2312"/>
          <w:sz w:val="32"/>
          <w:szCs w:val="32"/>
        </w:rPr>
        <w:t>人，省外生源占比首次超过</w:t>
      </w:r>
      <w:r>
        <w:rPr>
          <w:rFonts w:ascii="仿宋_GB2312" w:eastAsia="仿宋_GB2312" w:cs="仿宋_GB2312"/>
          <w:sz w:val="32"/>
          <w:szCs w:val="32"/>
        </w:rPr>
        <w:t>60%</w:t>
      </w:r>
      <w:r>
        <w:rPr>
          <w:rFonts w:hint="eastAsia" w:ascii="仿宋_GB2312" w:eastAsia="仿宋_GB2312" w:cs="仿宋_GB2312"/>
          <w:sz w:val="32"/>
          <w:szCs w:val="32"/>
        </w:rPr>
        <w:t>。省内一批</w:t>
      </w:r>
      <w:r>
        <w:rPr>
          <w:rFonts w:ascii="仿宋_GB2312" w:eastAsia="仿宋_GB2312" w:cs="仿宋_GB2312"/>
          <w:sz w:val="32"/>
          <w:szCs w:val="32"/>
        </w:rPr>
        <w:t>A</w:t>
      </w:r>
      <w:r>
        <w:rPr>
          <w:rFonts w:hint="eastAsia" w:ascii="仿宋_GB2312" w:eastAsia="仿宋_GB2312" w:cs="仿宋_GB2312"/>
          <w:sz w:val="32"/>
          <w:szCs w:val="32"/>
        </w:rPr>
        <w:t>段录取最低分超省本科一批线</w:t>
      </w:r>
      <w:r>
        <w:rPr>
          <w:rFonts w:ascii="仿宋_GB2312" w:eastAsia="仿宋_GB2312" w:cs="仿宋_GB2312"/>
          <w:sz w:val="32"/>
          <w:szCs w:val="32"/>
        </w:rPr>
        <w:t>35</w:t>
      </w:r>
      <w:r>
        <w:rPr>
          <w:rFonts w:hint="eastAsia" w:ascii="仿宋_GB2312" w:eastAsia="仿宋_GB2312" w:cs="仿宋_GB2312"/>
          <w:sz w:val="32"/>
          <w:szCs w:val="32"/>
        </w:rPr>
        <w:t>分，在省内一批招生的</w:t>
      </w:r>
      <w:r>
        <w:rPr>
          <w:rFonts w:ascii="仿宋_GB2312" w:eastAsia="仿宋_GB2312" w:cs="仿宋_GB2312"/>
          <w:sz w:val="32"/>
          <w:szCs w:val="32"/>
        </w:rPr>
        <w:t>19</w:t>
      </w:r>
      <w:r>
        <w:rPr>
          <w:rFonts w:hint="eastAsia" w:ascii="仿宋_GB2312" w:eastAsia="仿宋_GB2312" w:cs="仿宋_GB2312"/>
          <w:sz w:val="32"/>
          <w:szCs w:val="32"/>
        </w:rPr>
        <w:t>所院校中排名第</w:t>
      </w:r>
      <w:r>
        <w:rPr>
          <w:rFonts w:ascii="仿宋_GB2312" w:eastAsia="仿宋_GB2312" w:cs="仿宋_GB2312"/>
          <w:sz w:val="32"/>
          <w:szCs w:val="32"/>
        </w:rPr>
        <w:t>9</w:t>
      </w:r>
      <w:r>
        <w:rPr>
          <w:rFonts w:hint="eastAsia" w:ascii="仿宋_GB2312" w:eastAsia="仿宋_GB2312" w:cs="仿宋_GB2312"/>
          <w:sz w:val="32"/>
          <w:szCs w:val="32"/>
        </w:rPr>
        <w:t>位</w:t>
      </w:r>
      <w:r>
        <w:rPr>
          <w:rFonts w:hint="eastAsia" w:ascii="仿宋_GB2312" w:hAnsi="??" w:eastAsia="仿宋_GB2312" w:cs="仿宋_GB2312"/>
          <w:kern w:val="0"/>
          <w:sz w:val="32"/>
          <w:szCs w:val="32"/>
          <w:lang w:val="zh-CN"/>
        </w:rPr>
        <w:t>。</w:t>
      </w:r>
      <w:r>
        <w:rPr>
          <w:rFonts w:hint="eastAsia" w:ascii="仿宋_GB2312" w:eastAsia="仿宋_GB2312" w:cs="仿宋_GB2312"/>
          <w:sz w:val="32"/>
          <w:szCs w:val="32"/>
        </w:rPr>
        <w:t>留学生招生工作稳步向前，获得来华留学黑龙江省政府奖学金生招收培养资质，全年共招收</w:t>
      </w:r>
      <w:r>
        <w:rPr>
          <w:rFonts w:ascii="仿宋_GB2312" w:eastAsia="仿宋_GB2312" w:cs="仿宋_GB2312"/>
          <w:sz w:val="32"/>
          <w:szCs w:val="32"/>
        </w:rPr>
        <w:t>136</w:t>
      </w:r>
      <w:r>
        <w:rPr>
          <w:rFonts w:hint="eastAsia" w:ascii="仿宋_GB2312" w:eastAsia="仿宋_GB2312" w:cs="仿宋_GB2312"/>
          <w:sz w:val="32"/>
          <w:szCs w:val="32"/>
        </w:rPr>
        <w:t>名留学生，留学生</w:t>
      </w:r>
      <w:r>
        <w:rPr>
          <w:rFonts w:hint="eastAsia" w:ascii="仿宋_GB2312" w:hAnsi="仿宋" w:eastAsia="仿宋_GB2312" w:cs="仿宋_GB2312"/>
          <w:color w:val="000000"/>
          <w:sz w:val="32"/>
          <w:szCs w:val="32"/>
        </w:rPr>
        <w:t>总人数达</w:t>
      </w:r>
      <w:r>
        <w:rPr>
          <w:rFonts w:ascii="仿宋_GB2312" w:hAnsi="仿宋" w:eastAsia="仿宋_GB2312" w:cs="仿宋_GB2312"/>
          <w:color w:val="000000"/>
          <w:sz w:val="32"/>
          <w:szCs w:val="32"/>
        </w:rPr>
        <w:t>700</w:t>
      </w:r>
      <w:r>
        <w:rPr>
          <w:rFonts w:hint="eastAsia" w:ascii="仿宋_GB2312" w:hAnsi="仿宋" w:eastAsia="仿宋_GB2312" w:cs="仿宋_GB2312"/>
          <w:color w:val="000000"/>
          <w:sz w:val="32"/>
          <w:szCs w:val="32"/>
        </w:rPr>
        <w:t>人。</w:t>
      </w:r>
      <w:r>
        <w:rPr>
          <w:rFonts w:hint="eastAsia" w:ascii="仿宋_GB2312" w:eastAsia="仿宋_GB2312" w:cs="仿宋_GB2312"/>
          <w:sz w:val="32"/>
          <w:szCs w:val="32"/>
        </w:rPr>
        <w:t>学生就业工作扎实推进，</w:t>
      </w:r>
      <w:r>
        <w:rPr>
          <w:rFonts w:ascii="仿宋_GB2312" w:hAnsi="??" w:eastAsia="仿宋_GB2312" w:cs="仿宋_GB2312"/>
          <w:kern w:val="0"/>
          <w:sz w:val="32"/>
          <w:szCs w:val="32"/>
          <w:lang w:val="zh-CN"/>
        </w:rPr>
        <w:t>2021</w:t>
      </w:r>
      <w:r>
        <w:rPr>
          <w:rFonts w:hint="eastAsia" w:ascii="仿宋_GB2312" w:hAnsi="??" w:eastAsia="仿宋_GB2312" w:cs="仿宋_GB2312"/>
          <w:kern w:val="0"/>
          <w:sz w:val="32"/>
          <w:szCs w:val="32"/>
          <w:lang w:val="zh-CN"/>
        </w:rPr>
        <w:t>届毕业生毕业去向落实率为</w:t>
      </w:r>
      <w:r>
        <w:rPr>
          <w:rFonts w:ascii="仿宋_GB2312" w:hAnsi="??" w:eastAsia="仿宋_GB2312" w:cs="仿宋_GB2312"/>
          <w:kern w:val="0"/>
          <w:sz w:val="32"/>
          <w:szCs w:val="32"/>
          <w:lang w:val="zh-CN"/>
        </w:rPr>
        <w:t>81.99%</w:t>
      </w:r>
      <w:r>
        <w:rPr>
          <w:rFonts w:hint="eastAsia" w:ascii="仿宋_GB2312" w:hAnsi="??" w:eastAsia="仿宋_GB2312" w:cs="仿宋_GB2312"/>
          <w:kern w:val="0"/>
          <w:sz w:val="32"/>
          <w:szCs w:val="32"/>
          <w:lang w:val="zh-CN"/>
        </w:rPr>
        <w:t>，</w:t>
      </w:r>
      <w:r>
        <w:rPr>
          <w:rFonts w:hint="eastAsia" w:ascii="仿宋_GB2312" w:eastAsia="仿宋_GB2312" w:cs="仿宋_GB2312"/>
          <w:sz w:val="32"/>
          <w:szCs w:val="32"/>
        </w:rPr>
        <w:t>升学率首次超过</w:t>
      </w:r>
      <w:r>
        <w:rPr>
          <w:rFonts w:ascii="仿宋_GB2312" w:eastAsia="仿宋_GB2312" w:cs="仿宋_GB2312"/>
          <w:sz w:val="32"/>
          <w:szCs w:val="32"/>
        </w:rPr>
        <w:t>20%</w:t>
      </w:r>
      <w:r>
        <w:rPr>
          <w:rFonts w:hint="eastAsia" w:ascii="仿宋_GB2312" w:eastAsia="仿宋_GB2312" w:cs="仿宋_GB2312"/>
          <w:sz w:val="32"/>
          <w:szCs w:val="32"/>
        </w:rPr>
        <w:t>，为学院历史最高。双创工作持续发力，获批创新创业训练计划项目</w:t>
      </w:r>
      <w:r>
        <w:rPr>
          <w:rFonts w:ascii="仿宋_GB2312" w:eastAsia="仿宋_GB2312" w:cs="仿宋_GB2312"/>
          <w:sz w:val="32"/>
          <w:szCs w:val="32"/>
        </w:rPr>
        <w:t>81</w:t>
      </w:r>
      <w:r>
        <w:rPr>
          <w:rFonts w:hint="eastAsia" w:ascii="仿宋_GB2312" w:eastAsia="仿宋_GB2312" w:cs="仿宋_GB2312"/>
          <w:sz w:val="32"/>
          <w:szCs w:val="32"/>
        </w:rPr>
        <w:t>项，其中国家级</w:t>
      </w:r>
      <w:r>
        <w:rPr>
          <w:rFonts w:ascii="仿宋_GB2312" w:eastAsia="仿宋_GB2312" w:cs="仿宋_GB2312"/>
          <w:sz w:val="32"/>
          <w:szCs w:val="32"/>
        </w:rPr>
        <w:t>11</w:t>
      </w:r>
      <w:r>
        <w:rPr>
          <w:rFonts w:hint="eastAsia" w:ascii="仿宋_GB2312" w:eastAsia="仿宋_GB2312" w:cs="仿宋_GB2312"/>
          <w:sz w:val="32"/>
          <w:szCs w:val="32"/>
        </w:rPr>
        <w:t>项。在“挑战杯”全国大学生课外学术科技作品竞赛中荣获三等奖</w:t>
      </w:r>
      <w:r>
        <w:rPr>
          <w:rFonts w:ascii="仿宋_GB2312" w:eastAsia="仿宋_GB2312" w:cs="仿宋_GB2312"/>
          <w:sz w:val="32"/>
          <w:szCs w:val="32"/>
        </w:rPr>
        <w:t>3</w:t>
      </w:r>
      <w:r>
        <w:rPr>
          <w:rFonts w:hint="eastAsia" w:ascii="仿宋_GB2312" w:eastAsia="仿宋_GB2312" w:cs="仿宋_GB2312"/>
          <w:sz w:val="32"/>
          <w:szCs w:val="32"/>
        </w:rPr>
        <w:t>项，在各类创新创业赛事中获奖</w:t>
      </w:r>
      <w:r>
        <w:rPr>
          <w:rFonts w:ascii="仿宋_GB2312" w:eastAsia="仿宋_GB2312" w:cs="仿宋_GB2312"/>
          <w:sz w:val="32"/>
          <w:szCs w:val="32"/>
        </w:rPr>
        <w:t>50</w:t>
      </w:r>
      <w:r>
        <w:rPr>
          <w:rFonts w:hint="eastAsia" w:ascii="仿宋_GB2312" w:eastAsia="仿宋_GB2312" w:cs="仿宋_GB2312"/>
          <w:sz w:val="32"/>
          <w:szCs w:val="32"/>
        </w:rPr>
        <w:t>余项。全面推进“三全育人”工作，</w:t>
      </w:r>
      <w:r>
        <w:rPr>
          <w:rFonts w:hint="eastAsia" w:ascii="仿宋_GB2312" w:hAnsi="??" w:eastAsia="仿宋_GB2312" w:cs="仿宋_GB2312"/>
          <w:kern w:val="0"/>
          <w:sz w:val="32"/>
          <w:szCs w:val="32"/>
          <w:lang w:val="zh-CN"/>
        </w:rPr>
        <w:t>荣获全省“优秀易班指导教师”“优秀易班共建案例”</w:t>
      </w:r>
      <w:r>
        <w:rPr>
          <w:rFonts w:hint="eastAsia" w:ascii="仿宋_GB2312" w:hAnsi="??" w:eastAsia="仿宋_GB2312" w:cs="仿宋_GB2312"/>
          <w:kern w:val="0"/>
          <w:sz w:val="32"/>
          <w:szCs w:val="32"/>
        </w:rPr>
        <w:t>等</w:t>
      </w:r>
      <w:r>
        <w:rPr>
          <w:rFonts w:hint="eastAsia" w:ascii="仿宋_GB2312" w:hAnsi="??" w:eastAsia="仿宋_GB2312" w:cs="仿宋_GB2312"/>
          <w:kern w:val="0"/>
          <w:sz w:val="32"/>
          <w:szCs w:val="32"/>
          <w:lang w:val="zh-CN"/>
        </w:rPr>
        <w:t>奖项</w:t>
      </w:r>
      <w:r>
        <w:rPr>
          <w:rFonts w:ascii="仿宋_GB2312" w:hAnsi="??" w:eastAsia="仿宋_GB2312" w:cs="仿宋_GB2312"/>
          <w:kern w:val="0"/>
          <w:sz w:val="32"/>
          <w:szCs w:val="32"/>
        </w:rPr>
        <w:t>4</w:t>
      </w:r>
      <w:r>
        <w:rPr>
          <w:rFonts w:hint="eastAsia" w:ascii="仿宋_GB2312" w:hAnsi="??" w:eastAsia="仿宋_GB2312" w:cs="仿宋_GB2312"/>
          <w:kern w:val="0"/>
          <w:sz w:val="32"/>
          <w:szCs w:val="32"/>
        </w:rPr>
        <w:t>项。</w:t>
      </w:r>
      <w:r>
        <w:rPr>
          <w:rFonts w:hint="eastAsia" w:ascii="仿宋_GB2312" w:hAnsi="??" w:eastAsia="仿宋_GB2312" w:cs="仿宋_GB2312"/>
          <w:kern w:val="0"/>
          <w:sz w:val="32"/>
          <w:szCs w:val="32"/>
          <w:lang w:val="zh-CN"/>
        </w:rPr>
        <w:t>持续推进零违纪学院、零违纪班级创建工作，表彰零违纪二级单位</w:t>
      </w:r>
      <w:r>
        <w:rPr>
          <w:rFonts w:ascii="仿宋_GB2312" w:hAnsi="??" w:eastAsia="仿宋_GB2312" w:cs="仿宋_GB2312"/>
          <w:kern w:val="0"/>
          <w:sz w:val="32"/>
          <w:szCs w:val="32"/>
          <w:lang w:val="zh-CN"/>
        </w:rPr>
        <w:t>20</w:t>
      </w:r>
      <w:r>
        <w:rPr>
          <w:rFonts w:hint="eastAsia" w:ascii="仿宋_GB2312" w:hAnsi="??" w:eastAsia="仿宋_GB2312" w:cs="仿宋_GB2312"/>
          <w:kern w:val="0"/>
          <w:sz w:val="32"/>
          <w:szCs w:val="32"/>
          <w:lang w:val="zh-CN"/>
        </w:rPr>
        <w:t>个。举办第十届公寓文化节，表彰文明标兵寝室</w:t>
      </w:r>
      <w:r>
        <w:rPr>
          <w:rFonts w:ascii="仿宋_GB2312" w:hAnsi="??" w:eastAsia="仿宋_GB2312" w:cs="仿宋_GB2312"/>
          <w:kern w:val="0"/>
          <w:sz w:val="32"/>
          <w:szCs w:val="32"/>
          <w:lang w:val="zh-CN"/>
        </w:rPr>
        <w:t>513</w:t>
      </w:r>
      <w:r>
        <w:rPr>
          <w:rFonts w:hint="eastAsia" w:ascii="仿宋_GB2312" w:hAnsi="??" w:eastAsia="仿宋_GB2312" w:cs="仿宋_GB2312"/>
          <w:kern w:val="0"/>
          <w:sz w:val="32"/>
          <w:szCs w:val="32"/>
          <w:lang w:val="zh-CN"/>
        </w:rPr>
        <w:t>个。持续完善心理健康教育工作体系，学院组织申报黑龙江省心理健康教育示范高校。</w:t>
      </w:r>
    </w:p>
    <w:p>
      <w:pPr>
        <w:autoSpaceDE w:val="0"/>
        <w:autoSpaceDN w:val="0"/>
        <w:adjustRightInd w:val="0"/>
        <w:spacing w:line="360" w:lineRule="auto"/>
        <w:ind w:firstLine="640"/>
        <w:rPr>
          <w:rFonts w:ascii="仿宋_GB2312" w:hAnsi="??" w:eastAsia="仿宋_GB2312"/>
          <w:sz w:val="32"/>
          <w:szCs w:val="32"/>
          <w:lang w:val="zh-CN"/>
        </w:rPr>
      </w:pPr>
      <w:r>
        <w:rPr>
          <w:rFonts w:hint="eastAsia" w:ascii="仿宋_GB2312" w:eastAsia="仿宋_GB2312" w:cs="仿宋_GB2312"/>
          <w:sz w:val="32"/>
          <w:szCs w:val="32"/>
        </w:rPr>
        <w:t>过去的一年，现代大学治理能力实现新突破。</w:t>
      </w:r>
      <w:r>
        <w:rPr>
          <w:rFonts w:hint="eastAsia" w:ascii="仿宋_GB2312" w:hAnsi="??" w:eastAsia="仿宋_GB2312" w:cs="仿宋_GB2312"/>
          <w:sz w:val="32"/>
          <w:szCs w:val="32"/>
          <w:lang w:val="zh-CN"/>
        </w:rPr>
        <w:t>慎终如始推进校园疫情防控工作，</w:t>
      </w:r>
      <w:r>
        <w:rPr>
          <w:rFonts w:hint="eastAsia" w:ascii="仿宋_GB2312" w:hAnsi="仿宋" w:eastAsia="仿宋_GB2312" w:cs="仿宋_GB2312"/>
          <w:sz w:val="32"/>
          <w:szCs w:val="32"/>
        </w:rPr>
        <w:t>出台</w:t>
      </w:r>
      <w:r>
        <w:rPr>
          <w:rFonts w:hint="eastAsia" w:ascii="仿宋_GB2312" w:hAnsi="仿宋" w:eastAsia="仿宋_GB2312" w:cs="仿宋_GB2312"/>
          <w:sz w:val="32"/>
          <w:szCs w:val="32"/>
          <w:lang w:val="zh-CN"/>
        </w:rPr>
        <w:t>《</w:t>
      </w:r>
      <w:r>
        <w:rPr>
          <w:rFonts w:hint="eastAsia" w:ascii="仿宋_GB2312" w:hAnsi="仿宋" w:eastAsia="仿宋_GB2312" w:cs="仿宋_GB2312"/>
          <w:sz w:val="32"/>
          <w:szCs w:val="32"/>
        </w:rPr>
        <w:t>学院</w:t>
      </w:r>
      <w:r>
        <w:rPr>
          <w:rFonts w:hint="eastAsia" w:ascii="仿宋_GB2312" w:hAnsi="仿宋" w:eastAsia="仿宋_GB2312" w:cs="仿宋_GB2312"/>
          <w:sz w:val="32"/>
          <w:szCs w:val="32"/>
          <w:lang w:val="zh-CN"/>
        </w:rPr>
        <w:t>贯彻落实省教育厅应急处置“六步工作法”实施方案》</w:t>
      </w:r>
      <w:r>
        <w:rPr>
          <w:rFonts w:hint="eastAsia" w:ascii="仿宋_GB2312" w:hAnsi="仿宋" w:eastAsia="仿宋_GB2312" w:cs="仿宋_GB2312"/>
          <w:sz w:val="32"/>
          <w:szCs w:val="32"/>
        </w:rPr>
        <w:t>等规章制度</w:t>
      </w:r>
      <w:r>
        <w:rPr>
          <w:rFonts w:ascii="仿宋_GB2312" w:hAnsi="仿宋" w:eastAsia="仿宋_GB2312" w:cs="仿宋_GB2312"/>
          <w:sz w:val="32"/>
          <w:szCs w:val="32"/>
        </w:rPr>
        <w:t>73</w:t>
      </w:r>
      <w:r>
        <w:rPr>
          <w:rFonts w:hint="eastAsia" w:ascii="仿宋_GB2312" w:hAnsi="仿宋" w:eastAsia="仿宋_GB2312" w:cs="仿宋_GB2312"/>
          <w:sz w:val="32"/>
          <w:szCs w:val="32"/>
        </w:rPr>
        <w:t>项，举办疫情防控专题培训</w:t>
      </w:r>
      <w:r>
        <w:rPr>
          <w:rFonts w:ascii="仿宋_GB2312" w:hAnsi="仿宋" w:eastAsia="仿宋_GB2312" w:cs="仿宋_GB2312"/>
          <w:sz w:val="32"/>
          <w:szCs w:val="32"/>
        </w:rPr>
        <w:t>140</w:t>
      </w:r>
      <w:r>
        <w:rPr>
          <w:rFonts w:hint="eastAsia" w:ascii="仿宋_GB2312" w:hAnsi="仿宋" w:eastAsia="仿宋_GB2312" w:cs="仿宋_GB2312"/>
          <w:sz w:val="32"/>
          <w:szCs w:val="32"/>
        </w:rPr>
        <w:t>余场，开展疫情排查</w:t>
      </w:r>
      <w:r>
        <w:rPr>
          <w:rFonts w:ascii="仿宋_GB2312" w:hAnsi="仿宋" w:eastAsia="仿宋_GB2312" w:cs="仿宋_GB2312"/>
          <w:sz w:val="32"/>
          <w:szCs w:val="32"/>
        </w:rPr>
        <w:t>200</w:t>
      </w:r>
      <w:r>
        <w:rPr>
          <w:rFonts w:hint="eastAsia" w:ascii="仿宋_GB2312" w:hAnsi="仿宋" w:eastAsia="仿宋_GB2312" w:cs="仿宋_GB2312"/>
          <w:sz w:val="32"/>
          <w:szCs w:val="32"/>
        </w:rPr>
        <w:t>余次，组织完成核酸检测</w:t>
      </w:r>
      <w:r>
        <w:rPr>
          <w:rFonts w:ascii="仿宋_GB2312" w:hAnsi="仿宋" w:eastAsia="仿宋_GB2312" w:cs="仿宋_GB2312"/>
          <w:sz w:val="32"/>
          <w:szCs w:val="32"/>
        </w:rPr>
        <w:t>7</w:t>
      </w:r>
      <w:r>
        <w:rPr>
          <w:rFonts w:hint="eastAsia" w:ascii="仿宋_GB2312" w:hAnsi="仿宋" w:eastAsia="仿宋_GB2312" w:cs="仿宋_GB2312"/>
          <w:sz w:val="32"/>
          <w:szCs w:val="32"/>
        </w:rPr>
        <w:t>万余人次（均为阴性），新冠疫苗第一针剂应接种率</w:t>
      </w:r>
      <w:r>
        <w:rPr>
          <w:rFonts w:ascii="仿宋_GB2312" w:hAnsi="仿宋" w:eastAsia="仿宋_GB2312" w:cs="仿宋_GB2312"/>
          <w:sz w:val="32"/>
          <w:szCs w:val="32"/>
        </w:rPr>
        <w:t>100%</w:t>
      </w:r>
      <w:r>
        <w:rPr>
          <w:rFonts w:hint="eastAsia" w:ascii="仿宋_GB2312" w:hAnsi="仿宋" w:eastAsia="仿宋_GB2312" w:cs="仿宋_GB2312"/>
          <w:sz w:val="32"/>
          <w:szCs w:val="32"/>
        </w:rPr>
        <w:t>，第二针剂应接种率</w:t>
      </w:r>
      <w:r>
        <w:rPr>
          <w:rFonts w:ascii="仿宋_GB2312" w:hAnsi="仿宋" w:eastAsia="仿宋_GB2312" w:cs="仿宋_GB2312"/>
          <w:sz w:val="32"/>
          <w:szCs w:val="32"/>
        </w:rPr>
        <w:t>99.60%</w:t>
      </w:r>
      <w:r>
        <w:rPr>
          <w:rFonts w:hint="eastAsia" w:ascii="仿宋_GB2312" w:hAnsi="仿宋" w:eastAsia="仿宋_GB2312" w:cs="仿宋_GB2312"/>
          <w:sz w:val="32"/>
          <w:szCs w:val="32"/>
        </w:rPr>
        <w:t>，第三针剂应接种率</w:t>
      </w:r>
      <w:r>
        <w:rPr>
          <w:rFonts w:ascii="仿宋_GB2312" w:hAnsi="仿宋" w:eastAsia="仿宋_GB2312" w:cs="仿宋_GB2312"/>
          <w:sz w:val="32"/>
          <w:szCs w:val="32"/>
        </w:rPr>
        <w:t>80%</w:t>
      </w:r>
      <w:r>
        <w:rPr>
          <w:rFonts w:hint="eastAsia" w:ascii="仿宋_GB2312" w:hAnsi="仿宋" w:eastAsia="仿宋_GB2312" w:cs="仿宋_GB2312"/>
          <w:sz w:val="32"/>
          <w:szCs w:val="32"/>
        </w:rPr>
        <w:t>，有效构建起校园免疫屏障。</w:t>
      </w:r>
      <w:r>
        <w:rPr>
          <w:rFonts w:hint="eastAsia" w:ascii="仿宋_GB2312" w:hAnsi="仿宋" w:eastAsia="仿宋_GB2312" w:cs="仿宋_GB2312"/>
          <w:sz w:val="32"/>
          <w:szCs w:val="32"/>
          <w:lang w:val="zh-CN"/>
        </w:rPr>
        <w:t>加强事业发展的顶层设计，举办学院发展战略高端咨询会，邀</w:t>
      </w:r>
      <w:r>
        <w:rPr>
          <w:rFonts w:hint="eastAsia" w:ascii="仿宋_GB2312" w:hAnsi="仿宋" w:eastAsia="仿宋_GB2312" w:cs="仿宋_GB2312"/>
          <w:sz w:val="32"/>
          <w:szCs w:val="32"/>
        </w:rPr>
        <w:t>请陈志南、杨宝峰、丛斌、田伟、张学</w:t>
      </w:r>
      <w:r>
        <w:rPr>
          <w:rFonts w:ascii="仿宋_GB2312" w:hAnsi="仿宋" w:eastAsia="仿宋_GB2312" w:cs="仿宋_GB2312"/>
          <w:sz w:val="32"/>
          <w:szCs w:val="32"/>
        </w:rPr>
        <w:t>5</w:t>
      </w:r>
      <w:r>
        <w:rPr>
          <w:rFonts w:hint="eastAsia" w:ascii="仿宋_GB2312" w:hAnsi="仿宋" w:eastAsia="仿宋_GB2312" w:cs="仿宋_GB2312"/>
          <w:sz w:val="32"/>
          <w:szCs w:val="32"/>
        </w:rPr>
        <w:t>位院士走进齐医为学院发展建设</w:t>
      </w:r>
      <w:r>
        <w:rPr>
          <w:rFonts w:hint="eastAsia" w:ascii="仿宋_GB2312" w:hAnsi="仿宋" w:eastAsia="仿宋_GB2312" w:cs="仿宋_GB2312"/>
          <w:sz w:val="32"/>
          <w:szCs w:val="32"/>
          <w:lang w:val="zh-CN"/>
        </w:rPr>
        <w:t>出谋划策；出台《“十四五”发展规划》及专项规划</w:t>
      </w:r>
      <w:r>
        <w:rPr>
          <w:rFonts w:ascii="仿宋_GB2312" w:hAnsi="仿宋" w:eastAsia="仿宋_GB2312" w:cs="仿宋_GB2312"/>
          <w:sz w:val="32"/>
          <w:szCs w:val="32"/>
          <w:lang w:val="zh-CN"/>
        </w:rPr>
        <w:t>14</w:t>
      </w:r>
      <w:r>
        <w:rPr>
          <w:rFonts w:hint="eastAsia" w:ascii="仿宋_GB2312" w:hAnsi="仿宋" w:eastAsia="仿宋_GB2312" w:cs="仿宋_GB2312"/>
          <w:sz w:val="32"/>
          <w:szCs w:val="32"/>
          <w:lang w:val="zh-CN"/>
        </w:rPr>
        <w:t>项，覆盖党建、教学</w:t>
      </w:r>
      <w:r>
        <w:rPr>
          <w:rFonts w:hint="eastAsia" w:ascii="仿宋_GB2312" w:hAnsi="仿宋" w:eastAsia="仿宋_GB2312" w:cs="仿宋_GB2312"/>
          <w:sz w:val="32"/>
          <w:szCs w:val="32"/>
        </w:rPr>
        <w:t>、科研、医疗等中心工作，完成内涵建设的全面布局。校园文化建设成果不断巩固，举办了庆祝中国共产党成立</w:t>
      </w:r>
      <w:r>
        <w:rPr>
          <w:rFonts w:ascii="仿宋_GB2312" w:hAnsi="仿宋" w:eastAsia="仿宋_GB2312" w:cs="仿宋_GB2312"/>
          <w:sz w:val="32"/>
          <w:szCs w:val="32"/>
        </w:rPr>
        <w:t>100</w:t>
      </w:r>
      <w:r>
        <w:rPr>
          <w:rFonts w:hint="eastAsia" w:ascii="仿宋_GB2312" w:hAnsi="仿宋" w:eastAsia="仿宋_GB2312" w:cs="仿宋_GB2312"/>
          <w:sz w:val="32"/>
          <w:szCs w:val="32"/>
        </w:rPr>
        <w:t>周年“七个一百”等特色系列活动，</w:t>
      </w:r>
      <w:r>
        <w:rPr>
          <w:rFonts w:hint="eastAsia" w:ascii="仿宋_GB2312" w:hAnsi="??" w:eastAsia="仿宋_GB2312" w:cs="仿宋_GB2312"/>
          <w:sz w:val="32"/>
          <w:szCs w:val="32"/>
          <w:lang w:val="zh-CN"/>
        </w:rPr>
        <w:t>出版了大医文化文学创作丛书。</w:t>
      </w:r>
      <w:r>
        <w:rPr>
          <w:rFonts w:hint="eastAsia" w:ascii="仿宋_GB2312" w:eastAsia="仿宋_GB2312" w:cs="仿宋_GB2312"/>
          <w:sz w:val="32"/>
          <w:szCs w:val="32"/>
        </w:rPr>
        <w:t>组织</w:t>
      </w:r>
      <w:r>
        <w:rPr>
          <w:rFonts w:hint="eastAsia" w:ascii="仿宋_GB2312" w:hAnsi="??" w:eastAsia="仿宋_GB2312" w:cs="仿宋_GB2312"/>
          <w:sz w:val="32"/>
          <w:szCs w:val="32"/>
          <w:lang w:val="zh-CN"/>
        </w:rPr>
        <w:t>召开七届一次教职工代表大会、第</w:t>
      </w:r>
      <w:r>
        <w:rPr>
          <w:rFonts w:hint="eastAsia" w:ascii="仿宋_GB2312" w:hAnsi="仿宋" w:eastAsia="仿宋_GB2312" w:cs="仿宋_GB2312"/>
          <w:sz w:val="32"/>
          <w:szCs w:val="32"/>
          <w:lang w:val="zh-CN"/>
        </w:rPr>
        <w:t>六次团代会、学代会，民主管理和民主监督作用得到充分发挥。全面加强预算绩效管理，财政拨款预算执行率达到</w:t>
      </w:r>
      <w:r>
        <w:rPr>
          <w:rFonts w:ascii="仿宋_GB2312" w:hAnsi="仿宋" w:eastAsia="仿宋_GB2312" w:cs="仿宋_GB2312"/>
          <w:sz w:val="32"/>
          <w:szCs w:val="32"/>
          <w:lang w:val="zh-CN"/>
        </w:rPr>
        <w:t>96.54%</w:t>
      </w:r>
      <w:r>
        <w:rPr>
          <w:rFonts w:hint="eastAsia" w:ascii="仿宋_GB2312" w:hAnsi="仿宋" w:eastAsia="仿宋_GB2312" w:cs="仿宋_GB2312"/>
          <w:sz w:val="32"/>
          <w:szCs w:val="32"/>
          <w:lang w:val="zh-CN"/>
        </w:rPr>
        <w:t>。强化资金使用效益，完成工程竣工结算审计、修缮工程招标控制价审计</w:t>
      </w:r>
      <w:r>
        <w:rPr>
          <w:rFonts w:ascii="仿宋_GB2312" w:hAnsi="仿宋" w:eastAsia="仿宋_GB2312" w:cs="仿宋_GB2312"/>
          <w:sz w:val="32"/>
          <w:szCs w:val="32"/>
          <w:lang w:val="zh-CN"/>
        </w:rPr>
        <w:t>30</w:t>
      </w:r>
      <w:r>
        <w:rPr>
          <w:rFonts w:hint="eastAsia" w:ascii="仿宋_GB2312" w:hAnsi="仿宋" w:eastAsia="仿宋_GB2312" w:cs="仿宋_GB2312"/>
          <w:sz w:val="32"/>
          <w:szCs w:val="32"/>
          <w:lang w:val="zh-CN"/>
        </w:rPr>
        <w:t>项。推进校办企业体制改革，设立北京</w:t>
      </w:r>
      <w:r>
        <w:rPr>
          <w:rFonts w:hint="eastAsia" w:ascii="仿宋_GB2312" w:hAnsi="??" w:eastAsia="仿宋_GB2312" w:cs="仿宋_GB2312"/>
          <w:sz w:val="32"/>
          <w:szCs w:val="32"/>
        </w:rPr>
        <w:t>国邦华药科技文化发展有限公司并纳入所属二级企业管理。</w:t>
      </w:r>
      <w:r>
        <w:rPr>
          <w:rFonts w:hint="eastAsia" w:ascii="仿宋_GB2312" w:hAnsi="??" w:eastAsia="仿宋_GB2312" w:cs="仿宋_GB2312"/>
          <w:sz w:val="32"/>
          <w:szCs w:val="32"/>
          <w:lang w:val="zh-CN"/>
        </w:rPr>
        <w:t>全年累计发放热费补贴、住房货币化补贴，以及缴纳公积金、各类保险共计</w:t>
      </w:r>
      <w:r>
        <w:rPr>
          <w:rFonts w:ascii="仿宋_GB2312" w:hAnsi="??" w:eastAsia="仿宋_GB2312" w:cs="仿宋_GB2312"/>
          <w:sz w:val="32"/>
          <w:szCs w:val="32"/>
          <w:lang w:val="zh-CN"/>
        </w:rPr>
        <w:t>5671</w:t>
      </w:r>
      <w:r>
        <w:rPr>
          <w:rFonts w:hint="eastAsia" w:ascii="仿宋_GB2312" w:hAnsi="??" w:eastAsia="仿宋_GB2312" w:cs="仿宋_GB2312"/>
          <w:sz w:val="32"/>
          <w:szCs w:val="32"/>
          <w:lang w:val="zh-CN"/>
        </w:rPr>
        <w:t>万元，教职员工幸福感、获得感进一步增强。</w:t>
      </w:r>
    </w:p>
    <w:p>
      <w:pPr>
        <w:autoSpaceDE w:val="0"/>
        <w:autoSpaceDN w:val="0"/>
        <w:adjustRightInd w:val="0"/>
        <w:spacing w:line="360" w:lineRule="auto"/>
        <w:ind w:firstLine="640"/>
        <w:rPr>
          <w:rFonts w:ascii="仿宋_GB2312" w:hAnsi="??" w:eastAsia="仿宋_GB2312"/>
          <w:sz w:val="32"/>
          <w:szCs w:val="32"/>
          <w:lang w:val="zh-CN"/>
        </w:rPr>
      </w:pPr>
      <w:r>
        <w:rPr>
          <w:rFonts w:hint="eastAsia" w:ascii="仿宋_GB2312" w:eastAsia="仿宋_GB2312" w:cs="仿宋_GB2312"/>
          <w:sz w:val="32"/>
          <w:szCs w:val="32"/>
        </w:rPr>
        <w:t>过去的一年，办学条件和服务保障能力得到新提高。</w:t>
      </w:r>
      <w:r>
        <w:rPr>
          <w:rFonts w:hint="eastAsia" w:ascii="仿宋_GB2312" w:hAnsi="??" w:eastAsia="仿宋_GB2312" w:cs="仿宋_GB2312"/>
          <w:sz w:val="32"/>
          <w:szCs w:val="32"/>
          <w:lang w:val="zh-CN"/>
        </w:rPr>
        <w:t>大学生活动中心、形态楼、仁园牌楼及连廊工程竣工，大学生活动中心项目荣获国家优质工程金奖。持续深化</w:t>
      </w:r>
      <w:r>
        <w:rPr>
          <w:rFonts w:hint="eastAsia" w:ascii="仿宋_GB2312" w:hAnsi="仿宋" w:eastAsia="仿宋_GB2312" w:cs="仿宋_GB2312"/>
          <w:sz w:val="32"/>
          <w:szCs w:val="32"/>
        </w:rPr>
        <w:t>后勤整改工作，投入</w:t>
      </w:r>
      <w:r>
        <w:rPr>
          <w:rFonts w:ascii="仿宋_GB2312" w:hAnsi="仿宋" w:eastAsia="仿宋_GB2312" w:cs="仿宋_GB2312"/>
          <w:sz w:val="32"/>
          <w:szCs w:val="32"/>
        </w:rPr>
        <w:t>221.87</w:t>
      </w:r>
      <w:r>
        <w:rPr>
          <w:rFonts w:hint="eastAsia" w:ascii="仿宋_GB2312" w:hAnsi="仿宋" w:eastAsia="仿宋_GB2312" w:cs="仿宋_GB2312"/>
          <w:sz w:val="32"/>
          <w:szCs w:val="32"/>
        </w:rPr>
        <w:t>万元</w:t>
      </w:r>
      <w:r>
        <w:rPr>
          <w:rFonts w:hint="eastAsia" w:ascii="仿宋_GB2312" w:hAnsi="??" w:eastAsia="仿宋_GB2312" w:cs="仿宋_GB2312"/>
          <w:sz w:val="32"/>
          <w:szCs w:val="32"/>
          <w:lang w:val="zh-CN"/>
        </w:rPr>
        <w:t>完成后勤整改项目</w:t>
      </w:r>
      <w:r>
        <w:rPr>
          <w:rFonts w:ascii="仿宋_GB2312" w:hAnsi="??" w:eastAsia="仿宋_GB2312" w:cs="仿宋_GB2312"/>
          <w:sz w:val="32"/>
          <w:szCs w:val="32"/>
          <w:lang w:val="zh-CN"/>
        </w:rPr>
        <w:t>12</w:t>
      </w:r>
      <w:r>
        <w:rPr>
          <w:rFonts w:hint="eastAsia" w:ascii="仿宋_GB2312" w:hAnsi="??" w:eastAsia="仿宋_GB2312" w:cs="仿宋_GB2312"/>
          <w:sz w:val="32"/>
          <w:szCs w:val="32"/>
          <w:lang w:val="zh-CN"/>
        </w:rPr>
        <w:t>项，获评黑龙江省首批“绿色高校”。</w:t>
      </w:r>
      <w:r>
        <w:rPr>
          <w:rFonts w:hint="eastAsia" w:ascii="仿宋_GB2312" w:hAnsi="仿宋" w:eastAsia="仿宋_GB2312" w:cs="仿宋_GB2312"/>
          <w:sz w:val="32"/>
          <w:szCs w:val="32"/>
        </w:rPr>
        <w:t>全面落实校务服务“一网、一门、一次”改革要求，</w:t>
      </w:r>
      <w:r>
        <w:rPr>
          <w:rFonts w:hint="eastAsia" w:ascii="仿宋_GB2312" w:hAnsi="??" w:eastAsia="仿宋_GB2312" w:cs="仿宋_GB2312"/>
          <w:sz w:val="32"/>
          <w:szCs w:val="32"/>
        </w:rPr>
        <w:t>在</w:t>
      </w:r>
      <w:r>
        <w:rPr>
          <w:rFonts w:hint="eastAsia" w:ascii="仿宋_GB2312" w:hAnsi="??" w:eastAsia="仿宋_GB2312" w:cs="仿宋_GB2312"/>
          <w:sz w:val="32"/>
          <w:szCs w:val="32"/>
          <w:lang w:val="zh-CN"/>
        </w:rPr>
        <w:t>网上办事大厅开通学生事务、教师事务等线上服务</w:t>
      </w:r>
      <w:r>
        <w:rPr>
          <w:rFonts w:ascii="仿宋_GB2312" w:hAnsi="??" w:eastAsia="仿宋_GB2312" w:cs="仿宋_GB2312"/>
          <w:sz w:val="32"/>
          <w:szCs w:val="32"/>
          <w:lang w:val="zh-CN"/>
        </w:rPr>
        <w:t>111</w:t>
      </w:r>
      <w:r>
        <w:rPr>
          <w:rFonts w:hint="eastAsia" w:ascii="仿宋_GB2312" w:hAnsi="??" w:eastAsia="仿宋_GB2312" w:cs="仿宋_GB2312"/>
          <w:sz w:val="32"/>
          <w:szCs w:val="32"/>
          <w:lang w:val="zh-CN"/>
        </w:rPr>
        <w:t>项，基本实现校务一网通办</w:t>
      </w:r>
      <w:r>
        <w:rPr>
          <w:rFonts w:hint="eastAsia" w:ascii="仿宋_GB2312" w:hAnsi="仿宋" w:eastAsia="仿宋_GB2312" w:cs="仿宋_GB2312"/>
          <w:sz w:val="32"/>
          <w:szCs w:val="32"/>
          <w:lang w:val="zh-CN"/>
        </w:rPr>
        <w:t>。</w:t>
      </w:r>
      <w:r>
        <w:rPr>
          <w:rFonts w:hint="eastAsia" w:ascii="仿宋_GB2312" w:hAnsi="??" w:eastAsia="仿宋_GB2312" w:cs="仿宋_GB2312"/>
          <w:sz w:val="32"/>
          <w:szCs w:val="32"/>
          <w:lang w:val="zh-CN"/>
        </w:rPr>
        <w:t>文献资源得到拓展，文献传递服务及时高效。校园安全常抓不懈，双重预防机制不断完善。</w:t>
      </w:r>
    </w:p>
    <w:p>
      <w:pPr>
        <w:pStyle w:val="9"/>
        <w:adjustRightInd w:val="0"/>
        <w:snapToGrid w:val="0"/>
        <w:spacing w:before="0" w:beforeAutospacing="0" w:after="0" w:afterAutospacing="0" w:line="360" w:lineRule="auto"/>
        <w:ind w:firstLine="640" w:firstLineChars="200"/>
        <w:jc w:val="both"/>
        <w:rPr>
          <w:rFonts w:ascii="仿宋_GB2312" w:hAnsi="??" w:eastAsia="仿宋_GB2312" w:cs="Times New Roman"/>
          <w:sz w:val="32"/>
          <w:szCs w:val="32"/>
          <w:lang w:val="zh-CN"/>
        </w:rPr>
      </w:pPr>
      <w:r>
        <w:rPr>
          <w:rFonts w:hint="eastAsia" w:ascii="仿宋_GB2312" w:eastAsia="仿宋_GB2312" w:cs="仿宋_GB2312"/>
          <w:sz w:val="32"/>
          <w:szCs w:val="32"/>
        </w:rPr>
        <w:t>过去的一年，社会服务工作取得新成绩。在新冠肺炎医疗救治工作中，我院及附属医院积极响应、勇于担当，先后组建</w:t>
      </w:r>
      <w:r>
        <w:rPr>
          <w:rFonts w:ascii="仿宋_GB2312" w:eastAsia="仿宋_GB2312" w:cs="仿宋_GB2312"/>
          <w:sz w:val="32"/>
          <w:szCs w:val="32"/>
        </w:rPr>
        <w:t>4</w:t>
      </w:r>
      <w:r>
        <w:rPr>
          <w:rFonts w:hint="eastAsia" w:ascii="仿宋_GB2312" w:eastAsia="仿宋_GB2312" w:cs="仿宋_GB2312"/>
          <w:sz w:val="32"/>
          <w:szCs w:val="32"/>
        </w:rPr>
        <w:t>支医疗队、选派</w:t>
      </w:r>
      <w:r>
        <w:rPr>
          <w:rFonts w:ascii="仿宋_GB2312" w:eastAsia="仿宋_GB2312" w:cs="仿宋_GB2312"/>
          <w:sz w:val="32"/>
          <w:szCs w:val="32"/>
        </w:rPr>
        <w:t>200</w:t>
      </w:r>
      <w:r>
        <w:rPr>
          <w:rFonts w:hint="eastAsia" w:ascii="仿宋_GB2312" w:eastAsia="仿宋_GB2312" w:cs="仿宋_GB2312"/>
          <w:sz w:val="32"/>
          <w:szCs w:val="32"/>
        </w:rPr>
        <w:t>名医护人员驰援哈尔滨南岗区、巴彦县、黑河市、讷河市，以实际行动弘扬了伟大抗疫精神，赢得了国家联防联控专家组及黑龙江省卫健委的充分肯定和高度赞扬。</w:t>
      </w:r>
      <w:r>
        <w:rPr>
          <w:rFonts w:hint="eastAsia" w:ascii="仿宋_GB2312" w:hAnsi="??" w:eastAsia="仿宋_GB2312" w:cs="仿宋_GB2312"/>
          <w:sz w:val="32"/>
          <w:szCs w:val="32"/>
          <w:lang w:val="zh-CN"/>
        </w:rPr>
        <w:t>助力乡村振兴，学院选派</w:t>
      </w:r>
      <w:r>
        <w:rPr>
          <w:rFonts w:ascii="仿宋_GB2312" w:hAnsi="??" w:eastAsia="仿宋_GB2312" w:cs="仿宋_GB2312"/>
          <w:sz w:val="32"/>
          <w:szCs w:val="32"/>
          <w:lang w:val="zh-CN"/>
        </w:rPr>
        <w:t>4</w:t>
      </w:r>
      <w:r>
        <w:rPr>
          <w:rFonts w:hint="eastAsia" w:ascii="仿宋_GB2312" w:hAnsi="??" w:eastAsia="仿宋_GB2312" w:cs="仿宋_GB2312"/>
          <w:sz w:val="32"/>
          <w:szCs w:val="32"/>
          <w:lang w:val="zh-CN"/>
        </w:rPr>
        <w:t>名干部到富裕县富路镇长发村、梅里斯区雅尔塞镇奈门沁村挂职锻炼，</w:t>
      </w:r>
      <w:r>
        <w:rPr>
          <w:rFonts w:hint="eastAsia" w:ascii="仿宋_GB2312" w:hAnsi="仿宋" w:eastAsia="仿宋_GB2312" w:cs="仿宋_GB2312"/>
          <w:sz w:val="32"/>
          <w:szCs w:val="32"/>
        </w:rPr>
        <w:t>选派</w:t>
      </w:r>
      <w:r>
        <w:rPr>
          <w:rFonts w:ascii="仿宋_GB2312" w:hAnsi="仿宋" w:eastAsia="仿宋_GB2312" w:cs="仿宋_GB2312"/>
          <w:sz w:val="32"/>
          <w:szCs w:val="32"/>
        </w:rPr>
        <w:t>1</w:t>
      </w:r>
      <w:r>
        <w:rPr>
          <w:rFonts w:hint="eastAsia" w:ascii="仿宋_GB2312" w:hAnsi="仿宋" w:eastAsia="仿宋_GB2312" w:cs="仿宋_GB2312"/>
          <w:sz w:val="32"/>
          <w:szCs w:val="32"/>
        </w:rPr>
        <w:t>名专业人才到大兴安岭地区</w:t>
      </w:r>
      <w:r>
        <w:rPr>
          <w:rFonts w:hint="eastAsia" w:ascii="仿宋_GB2312" w:hAnsi="仿宋_GB2312" w:eastAsia="仿宋_GB2312" w:cs="仿宋_GB2312"/>
          <w:sz w:val="32"/>
          <w:szCs w:val="32"/>
        </w:rPr>
        <w:t>参与“组团式援边行动”工作</w:t>
      </w:r>
      <w:r>
        <w:rPr>
          <w:rFonts w:hint="eastAsia" w:ascii="仿宋_GB2312" w:hAnsi="??" w:eastAsia="仿宋_GB2312" w:cs="仿宋_GB2312"/>
          <w:sz w:val="32"/>
          <w:szCs w:val="32"/>
          <w:lang w:val="zh-CN"/>
        </w:rPr>
        <w:t>。</w:t>
      </w:r>
      <w:r>
        <w:rPr>
          <w:rFonts w:hint="eastAsia" w:ascii="仿宋_GB2312" w:eastAsia="仿宋_GB2312" w:cs="仿宋_GB2312"/>
          <w:sz w:val="32"/>
          <w:szCs w:val="32"/>
        </w:rPr>
        <w:t>深化校地合作，联合省卫健委、哈尔滨医科大学、齐齐哈尔市人民政府合作共建齐齐哈尔公共卫生与健康研究院，旨在</w:t>
      </w:r>
      <w:r>
        <w:rPr>
          <w:rFonts w:hint="eastAsia" w:ascii="仿宋_GB2312" w:hAnsi="??" w:eastAsia="仿宋_GB2312" w:cs="仿宋_GB2312"/>
          <w:sz w:val="32"/>
          <w:szCs w:val="32"/>
          <w:lang w:val="zh-CN"/>
        </w:rPr>
        <w:t>完善</w:t>
      </w:r>
      <w:r>
        <w:rPr>
          <w:rFonts w:hint="eastAsia" w:ascii="仿宋_GB2312" w:hAnsi="??" w:eastAsia="仿宋_GB2312" w:cs="仿宋_GB2312"/>
          <w:sz w:val="32"/>
          <w:szCs w:val="32"/>
        </w:rPr>
        <w:t>我市</w:t>
      </w:r>
      <w:r>
        <w:rPr>
          <w:rFonts w:hint="eastAsia" w:ascii="仿宋_GB2312" w:hAnsi="??" w:eastAsia="仿宋_GB2312" w:cs="仿宋_GB2312"/>
          <w:sz w:val="32"/>
          <w:szCs w:val="32"/>
          <w:lang w:val="zh-CN"/>
        </w:rPr>
        <w:t>公共卫生体系建设，守护鹤城人民健康</w:t>
      </w:r>
      <w:r>
        <w:rPr>
          <w:rFonts w:hint="eastAsia" w:ascii="仿宋_GB2312" w:eastAsia="仿宋_GB2312" w:cs="仿宋_GB2312"/>
          <w:sz w:val="32"/>
          <w:szCs w:val="32"/>
        </w:rPr>
        <w:t>。发挥黑龙江省医学教育管理中心职能，完成住院医师规范化培训、全科医生转岗培训、</w:t>
      </w:r>
      <w:r>
        <w:rPr>
          <w:rFonts w:hint="eastAsia" w:ascii="仿宋_GB2312" w:hAnsi="??" w:eastAsia="仿宋_GB2312" w:cs="仿宋_GB2312"/>
          <w:sz w:val="32"/>
          <w:szCs w:val="32"/>
          <w:lang w:val="zh-CN"/>
        </w:rPr>
        <w:t>继续医学教育培训</w:t>
      </w:r>
      <w:r>
        <w:rPr>
          <w:rFonts w:hint="eastAsia" w:ascii="仿宋_GB2312" w:eastAsia="仿宋_GB2312" w:cs="仿宋_GB2312"/>
          <w:sz w:val="32"/>
          <w:szCs w:val="32"/>
        </w:rPr>
        <w:t>等工作，累计培训近</w:t>
      </w:r>
      <w:r>
        <w:rPr>
          <w:rFonts w:ascii="仿宋_GB2312" w:eastAsia="仿宋_GB2312" w:cs="仿宋_GB2312"/>
          <w:sz w:val="32"/>
          <w:szCs w:val="32"/>
        </w:rPr>
        <w:t>1.2</w:t>
      </w:r>
      <w:r>
        <w:rPr>
          <w:rFonts w:hint="eastAsia" w:ascii="仿宋_GB2312" w:eastAsia="仿宋_GB2312" w:cs="仿宋_GB2312"/>
          <w:sz w:val="32"/>
          <w:szCs w:val="32"/>
        </w:rPr>
        <w:t>万人次</w:t>
      </w:r>
      <w:r>
        <w:rPr>
          <w:rFonts w:hint="eastAsia" w:ascii="仿宋_GB2312" w:hAnsi="??" w:eastAsia="仿宋_GB2312" w:cs="仿宋_GB2312"/>
          <w:sz w:val="32"/>
          <w:szCs w:val="32"/>
          <w:lang w:val="zh-CN"/>
        </w:rPr>
        <w:t>。</w:t>
      </w:r>
    </w:p>
    <w:p>
      <w:pPr>
        <w:pStyle w:val="9"/>
        <w:adjustRightInd w:val="0"/>
        <w:snapToGrid w:val="0"/>
        <w:spacing w:before="0" w:beforeAutospacing="0" w:after="0" w:afterAutospacing="0" w:line="360" w:lineRule="auto"/>
        <w:ind w:firstLine="640" w:firstLineChars="200"/>
        <w:jc w:val="both"/>
        <w:rPr>
          <w:rFonts w:ascii="仿宋_GB2312" w:eastAsia="仿宋_GB2312" w:cs="Times New Roman"/>
          <w:sz w:val="32"/>
          <w:szCs w:val="32"/>
        </w:rPr>
      </w:pPr>
      <w:r>
        <w:rPr>
          <w:rFonts w:hint="eastAsia" w:ascii="仿宋_GB2312" w:eastAsia="仿宋_GB2312" w:cs="仿宋_GB2312"/>
          <w:sz w:val="32"/>
          <w:szCs w:val="32"/>
        </w:rPr>
        <w:t>各位代表，过去的一年我们能够克服疫情带来的不利影响，取得上述这些成绩实属不易、难能可贵。这份沉甸甸的成绩，离不开省委省政府和省委教育工委省教育厅的正确领导、亲切关怀，离不开学院党委统筹引领、科学发展，更离不开全院师生员工的众志成城、齐心协力。在此，我代表学院向师生员工致以崇高的敬意和衷心的感谢！</w:t>
      </w:r>
    </w:p>
    <w:p>
      <w:pPr>
        <w:pStyle w:val="9"/>
        <w:adjustRightInd w:val="0"/>
        <w:snapToGrid w:val="0"/>
        <w:spacing w:before="0" w:beforeAutospacing="0" w:after="0" w:afterAutospacing="0" w:line="360" w:lineRule="auto"/>
        <w:ind w:firstLine="640" w:firstLineChars="200"/>
        <w:jc w:val="both"/>
        <w:rPr>
          <w:rFonts w:ascii="仿宋_GB2312" w:eastAsia="仿宋_GB2312" w:cs="Times New Roman"/>
          <w:sz w:val="32"/>
          <w:szCs w:val="32"/>
        </w:rPr>
      </w:pPr>
      <w:r>
        <w:rPr>
          <w:rFonts w:hint="eastAsia" w:ascii="仿宋_GB2312" w:eastAsia="仿宋_GB2312" w:cs="仿宋_GB2312"/>
          <w:sz w:val="32"/>
          <w:szCs w:val="32"/>
        </w:rPr>
        <w:t>在取得发展成绩的同时，我们必须清醒地认识到，学院发展过程中仍面临一定的困难：人才培养的规模、结构、质量需要进一步协调和提高，特色应用型本科示范高校建设、一流本科教育内涵建设和医学教育创新发展需加快推进；学科的优势和特色尚不突出，缺少高峰高原学科，对研究生教育支撑力度不够；基础研究创新能力不强，科研项目的层次、数量均有待提高；高水平领军人才、优秀创新团队匮乏，高层次人才的科研潜力仍有待深入挖掘；学术型医院建设成效还不够显著，医疗核心竞争力还不够强，住院医师规范化培训基地内涵建设仍有待加强，等等。这些发展中的困难和问题，我们必须高度重视、着力破解。</w:t>
      </w:r>
    </w:p>
    <w:p>
      <w:pPr>
        <w:pStyle w:val="9"/>
        <w:adjustRightInd w:val="0"/>
        <w:snapToGrid w:val="0"/>
        <w:spacing w:before="0" w:beforeAutospacing="0" w:after="0" w:afterAutospacing="0" w:line="360" w:lineRule="auto"/>
        <w:ind w:firstLine="640" w:firstLineChars="200"/>
        <w:jc w:val="both"/>
        <w:rPr>
          <w:rFonts w:ascii="黑体" w:hAnsi="黑体" w:eastAsia="黑体" w:cs="Times New Roman"/>
          <w:sz w:val="32"/>
          <w:szCs w:val="32"/>
        </w:rPr>
      </w:pPr>
      <w:r>
        <w:rPr>
          <w:rFonts w:hint="eastAsia" w:ascii="黑体" w:hAnsi="黑体" w:eastAsia="黑体" w:cs="黑体"/>
          <w:sz w:val="32"/>
          <w:szCs w:val="32"/>
        </w:rPr>
        <w:t>二、</w:t>
      </w:r>
      <w:r>
        <w:rPr>
          <w:rFonts w:ascii="黑体" w:hAnsi="黑体" w:eastAsia="黑体" w:cs="黑体"/>
          <w:sz w:val="32"/>
          <w:szCs w:val="32"/>
        </w:rPr>
        <w:t>2022</w:t>
      </w:r>
      <w:r>
        <w:rPr>
          <w:rFonts w:hint="eastAsia" w:ascii="黑体" w:hAnsi="黑体" w:eastAsia="黑体" w:cs="黑体"/>
          <w:sz w:val="32"/>
          <w:szCs w:val="32"/>
        </w:rPr>
        <w:t>年工作总体思路</w:t>
      </w:r>
    </w:p>
    <w:p>
      <w:pPr>
        <w:pStyle w:val="9"/>
        <w:adjustRightInd w:val="0"/>
        <w:snapToGrid w:val="0"/>
        <w:spacing w:before="0" w:beforeAutospacing="0" w:after="0" w:afterAutospacing="0" w:line="360" w:lineRule="auto"/>
        <w:ind w:firstLine="640" w:firstLineChars="200"/>
        <w:jc w:val="both"/>
        <w:rPr>
          <w:rFonts w:ascii="仿宋_GB2312" w:hAnsi="仿宋_GB2312" w:eastAsia="仿宋_GB2312" w:cs="Times New Roman"/>
          <w:sz w:val="32"/>
          <w:szCs w:val="32"/>
        </w:rPr>
      </w:pP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学院工作总体思路是：以习近平新时代中国特色社会主义思想为指导，全面贯彻党的十九大和十九届历次全会精神，以及全国、全省教育大会和全省教育工作会议部署，弘扬伟大建党精神，不断巩固拓展党史学习教育成果，全面贯彻党的教育方针，落实立德树人根本任务，紧紧围绕医科大学建设标准，扎实推进学院第三次党代会和《“十四五”发展规划》工作任务落实，</w:t>
      </w:r>
      <w:r>
        <w:rPr>
          <w:rFonts w:hint="eastAsia" w:ascii="仿宋_GB2312" w:eastAsia="仿宋_GB2312" w:cs="仿宋_GB2312"/>
          <w:b/>
          <w:bCs/>
          <w:sz w:val="32"/>
          <w:szCs w:val="32"/>
        </w:rPr>
        <w:t>围绕一个总体目标</w:t>
      </w:r>
      <w:r>
        <w:rPr>
          <w:rFonts w:hint="eastAsia" w:ascii="仿宋_GB2312" w:eastAsia="仿宋_GB2312" w:cs="仿宋_GB2312"/>
          <w:sz w:val="32"/>
          <w:szCs w:val="32"/>
        </w:rPr>
        <w:t>，即建成高水平特色应用型本科示范高校，</w:t>
      </w:r>
      <w:r>
        <w:rPr>
          <w:rFonts w:hint="eastAsia" w:ascii="仿宋_GB2312" w:eastAsia="仿宋_GB2312" w:cs="仿宋_GB2312"/>
          <w:b/>
          <w:bCs/>
          <w:sz w:val="32"/>
          <w:szCs w:val="32"/>
        </w:rPr>
        <w:t>全力做好八个方面重点工作，</w:t>
      </w:r>
      <w:r>
        <w:rPr>
          <w:rFonts w:hint="eastAsia" w:ascii="仿宋_GB2312" w:eastAsia="仿宋_GB2312" w:cs="仿宋_GB2312"/>
          <w:sz w:val="32"/>
          <w:szCs w:val="32"/>
        </w:rPr>
        <w:t>即人才培养、科学研究与学科建设、医疗服务、人才队伍与师资队伍建设、学生管理与服务、社会服务、对外交流合作、现代大学治理，</w:t>
      </w:r>
      <w:r>
        <w:rPr>
          <w:rFonts w:hint="eastAsia" w:ascii="仿宋_GB2312" w:hAnsi="仿宋_GB2312" w:eastAsia="仿宋_GB2312" w:cs="仿宋_GB2312"/>
          <w:sz w:val="32"/>
          <w:szCs w:val="32"/>
        </w:rPr>
        <w:t>统筹疫情防控与事业发展，办好人民满意的高等医学教育，为加力推进龙江全面振兴全方位振兴贡献齐医力量，以优异成绩迎接党的二十大胜利召开。</w:t>
      </w:r>
    </w:p>
    <w:p>
      <w:pPr>
        <w:pStyle w:val="9"/>
        <w:adjustRightInd w:val="0"/>
        <w:snapToGrid w:val="0"/>
        <w:spacing w:before="0" w:beforeAutospacing="0" w:after="0" w:afterAutospacing="0" w:line="360" w:lineRule="auto"/>
        <w:ind w:firstLine="640" w:firstLineChars="200"/>
        <w:jc w:val="both"/>
        <w:rPr>
          <w:rFonts w:ascii="黑体" w:hAnsi="黑体" w:eastAsia="黑体" w:cs="Times New Roman"/>
          <w:sz w:val="32"/>
          <w:szCs w:val="32"/>
        </w:rPr>
      </w:pPr>
      <w:r>
        <w:rPr>
          <w:rFonts w:hint="eastAsia" w:ascii="黑体" w:hAnsi="黑体" w:eastAsia="黑体" w:cs="黑体"/>
          <w:sz w:val="32"/>
          <w:szCs w:val="32"/>
        </w:rPr>
        <w:t>三、</w:t>
      </w:r>
      <w:r>
        <w:rPr>
          <w:rFonts w:ascii="黑体" w:hAnsi="黑体" w:eastAsia="黑体" w:cs="黑体"/>
          <w:sz w:val="32"/>
          <w:szCs w:val="32"/>
        </w:rPr>
        <w:t>2022</w:t>
      </w:r>
      <w:r>
        <w:rPr>
          <w:rFonts w:hint="eastAsia" w:ascii="黑体" w:hAnsi="黑体" w:eastAsia="黑体" w:cs="黑体"/>
          <w:sz w:val="32"/>
          <w:szCs w:val="32"/>
        </w:rPr>
        <w:t>年主要工作任务</w:t>
      </w:r>
    </w:p>
    <w:p>
      <w:pPr>
        <w:adjustRightInd w:val="0"/>
        <w:snapToGrid w:val="0"/>
        <w:spacing w:line="360" w:lineRule="auto"/>
        <w:ind w:firstLine="643" w:firstLineChars="200"/>
        <w:rPr>
          <w:rFonts w:ascii="楷体" w:hAnsi="楷体" w:eastAsia="楷体"/>
          <w:b/>
          <w:bCs/>
          <w:sz w:val="32"/>
          <w:szCs w:val="32"/>
        </w:rPr>
      </w:pPr>
      <w:r>
        <w:rPr>
          <w:rFonts w:hint="eastAsia" w:ascii="楷体" w:hAnsi="楷体" w:eastAsia="楷体" w:cs="楷体"/>
          <w:b/>
          <w:bCs/>
          <w:sz w:val="32"/>
          <w:szCs w:val="32"/>
        </w:rPr>
        <w:t>（一）持续推进质量立院，全力提升人才培养质量</w:t>
      </w:r>
    </w:p>
    <w:p>
      <w:pPr>
        <w:adjustRightInd w:val="0"/>
        <w:snapToGrid w:val="0"/>
        <w:spacing w:line="360" w:lineRule="auto"/>
        <w:ind w:firstLine="643" w:firstLineChars="200"/>
        <w:rPr>
          <w:rFonts w:ascii="仿宋_GB2312" w:hAnsi="宋体" w:eastAsia="仿宋_GB2312"/>
          <w:sz w:val="32"/>
          <w:szCs w:val="32"/>
        </w:rPr>
      </w:pPr>
      <w:r>
        <w:rPr>
          <w:rFonts w:ascii="仿宋_GB2312" w:hAnsi="仿宋" w:eastAsia="仿宋_GB2312" w:cs="仿宋_GB2312"/>
          <w:b/>
          <w:bCs/>
          <w:sz w:val="32"/>
          <w:szCs w:val="32"/>
        </w:rPr>
        <w:t>1.</w:t>
      </w:r>
      <w:r>
        <w:rPr>
          <w:rFonts w:hint="eastAsia" w:ascii="仿宋_GB2312" w:hAnsi="仿宋" w:eastAsia="仿宋_GB2312" w:cs="仿宋_GB2312"/>
          <w:b/>
          <w:bCs/>
          <w:sz w:val="32"/>
          <w:szCs w:val="32"/>
        </w:rPr>
        <w:t>加强教学工作顶层设计。</w:t>
      </w:r>
      <w:r>
        <w:rPr>
          <w:rFonts w:hint="eastAsia" w:ascii="仿宋_GB2312" w:hAnsi="仿宋_GB2312" w:eastAsia="仿宋_GB2312" w:cs="仿宋_GB2312"/>
          <w:sz w:val="32"/>
          <w:szCs w:val="32"/>
        </w:rPr>
        <w:t>以“四新”（新理念、新定位、新内涵、新医科）引领医学教育改革创新发展，出台新一轮《人才培养方案修订的指导意见》</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全面修订培养方案。</w:t>
      </w:r>
      <w:r>
        <w:rPr>
          <w:rFonts w:hint="eastAsia" w:ascii="仿宋_GB2312" w:hAnsi="宋体" w:eastAsia="仿宋_GB2312" w:cs="仿宋_GB2312"/>
          <w:sz w:val="32"/>
          <w:szCs w:val="32"/>
        </w:rPr>
        <w:t>实施特色人才培养计划，在高年级灵活设置专业方向，满足个性化人才培养及行业产业对人才培养的多样化需求。</w:t>
      </w:r>
      <w:r>
        <w:rPr>
          <w:rFonts w:hint="eastAsia" w:ascii="仿宋_GB2312" w:hAnsi="仿宋" w:eastAsia="仿宋_GB2312" w:cs="仿宋_GB2312"/>
          <w:sz w:val="32"/>
          <w:szCs w:val="32"/>
        </w:rPr>
        <w:t>坚</w:t>
      </w:r>
      <w:r>
        <w:rPr>
          <w:rFonts w:hint="eastAsia" w:ascii="仿宋_GB2312" w:hAnsi="仿宋_GB2312" w:eastAsia="仿宋_GB2312" w:cs="仿宋_GB2312"/>
          <w:sz w:val="32"/>
          <w:szCs w:val="32"/>
        </w:rPr>
        <w:t>持“五育”并举，强化学生“五术”培养，进一步优化培养体系。持续深化“三导向”人才培养模式，有效提升学生岗位胜任力和自我发展能力。加强校企合作，推进“订单式”人才培养模式，建立产教融合、协同育人机制。按照《现代产业学院建设指南》，重点建设智能影像工程等现代产业学院。</w:t>
      </w:r>
      <w:r>
        <w:rPr>
          <w:rFonts w:hint="eastAsia" w:ascii="仿宋_GB2312" w:hAnsi="宋体" w:eastAsia="仿宋_GB2312" w:cs="仿宋_GB2312"/>
          <w:sz w:val="32"/>
          <w:szCs w:val="32"/>
        </w:rPr>
        <w:t>参加医学院校临床医学专业水平测试，努力成为国家医考中心第一批试点单位。召开学院教育教学工作会议和提高执业医师资格考试通过率专项推进会，全面促进教育教学工作提质创新。加快特色应用型本科示范高校建设，做好验收准备工作。以《普通本科学校设置暂行规定》为标准，适时出台《更名医科大学建设方案》，稳步推进更名医科大学的各项目标任务。</w:t>
      </w:r>
    </w:p>
    <w:p>
      <w:pPr>
        <w:adjustRightInd w:val="0"/>
        <w:snapToGrid w:val="0"/>
        <w:spacing w:line="360" w:lineRule="auto"/>
        <w:ind w:firstLine="643" w:firstLineChars="200"/>
        <w:rPr>
          <w:rFonts w:ascii="仿宋_GB2312" w:hAnsi="仿宋" w:eastAsia="仿宋_GB2312"/>
          <w:sz w:val="32"/>
          <w:szCs w:val="32"/>
        </w:rPr>
      </w:pPr>
      <w:r>
        <w:rPr>
          <w:rFonts w:ascii="仿宋_GB2312" w:hAnsi="仿宋" w:eastAsia="仿宋_GB2312" w:cs="仿宋_GB2312"/>
          <w:b/>
          <w:bCs/>
          <w:sz w:val="32"/>
          <w:szCs w:val="32"/>
        </w:rPr>
        <w:t>2.</w:t>
      </w:r>
      <w:r>
        <w:rPr>
          <w:rFonts w:hint="eastAsia" w:ascii="仿宋_GB2312" w:hAnsi="仿宋" w:eastAsia="仿宋_GB2312" w:cs="仿宋_GB2312"/>
          <w:b/>
          <w:bCs/>
          <w:sz w:val="32"/>
          <w:szCs w:val="32"/>
        </w:rPr>
        <w:t>深化专业内涵建设。</w:t>
      </w:r>
      <w:r>
        <w:rPr>
          <w:rFonts w:hint="eastAsia" w:ascii="仿宋_GB2312" w:hAnsi="仿宋" w:eastAsia="仿宋_GB2312" w:cs="仿宋_GB2312"/>
          <w:sz w:val="32"/>
          <w:szCs w:val="32"/>
        </w:rPr>
        <w:t>组织召开国家级一流本科专业建设推进会，及时部署精神医学、护理学国家级一流本科专业建设点验收准备工作，着力推进药学专业申报国家级一流本科专业建设点工作。</w:t>
      </w:r>
      <w:r>
        <w:rPr>
          <w:rFonts w:hint="eastAsia" w:ascii="仿宋_GB2312" w:eastAsia="仿宋_GB2312" w:cs="仿宋_GB2312"/>
          <w:sz w:val="32"/>
          <w:szCs w:val="32"/>
        </w:rPr>
        <w:t>对国家级和省级一流本科专业建设点开展验收前评估指导，</w:t>
      </w:r>
      <w:r>
        <w:rPr>
          <w:rFonts w:hint="eastAsia" w:ascii="仿宋_GB2312" w:hAnsi="仿宋" w:eastAsia="仿宋_GB2312" w:cs="仿宋_GB2312"/>
          <w:sz w:val="32"/>
          <w:szCs w:val="32"/>
        </w:rPr>
        <w:t>确保顺利通过验收。加大助产学、健康服务与管理等新办专业建设力度，加快推进专业结构优化调整，进一步强化“医学专业门类比较齐全、非医学类专业协调发展、特色专业优势明显、新增专业态势良好”的专业布局。</w:t>
      </w:r>
    </w:p>
    <w:p>
      <w:pPr>
        <w:adjustRightInd w:val="0"/>
        <w:snapToGrid w:val="0"/>
        <w:spacing w:line="360" w:lineRule="auto"/>
        <w:ind w:firstLine="643" w:firstLineChars="200"/>
        <w:rPr>
          <w:rFonts w:ascii="仿宋_GB2312" w:hAnsi="仿宋_GB2312" w:eastAsia="仿宋_GB2312"/>
          <w:sz w:val="32"/>
          <w:szCs w:val="32"/>
        </w:rPr>
      </w:pPr>
      <w:r>
        <w:rPr>
          <w:rFonts w:ascii="仿宋_GB2312" w:hAnsi="仿宋" w:eastAsia="仿宋_GB2312" w:cs="仿宋_GB2312"/>
          <w:b/>
          <w:bCs/>
          <w:sz w:val="32"/>
          <w:szCs w:val="32"/>
        </w:rPr>
        <w:t>3.</w:t>
      </w:r>
      <w:r>
        <w:rPr>
          <w:rFonts w:hint="eastAsia" w:ascii="仿宋_GB2312" w:hAnsi="仿宋" w:eastAsia="仿宋_GB2312" w:cs="仿宋_GB2312"/>
          <w:b/>
          <w:bCs/>
          <w:sz w:val="32"/>
          <w:szCs w:val="32"/>
        </w:rPr>
        <w:t>持续推进课程改革。</w:t>
      </w:r>
      <w:r>
        <w:rPr>
          <w:rFonts w:hint="eastAsia" w:ascii="仿宋_GB2312" w:eastAsia="仿宋_GB2312" w:cs="仿宋_GB2312"/>
          <w:sz w:val="32"/>
          <w:szCs w:val="32"/>
        </w:rPr>
        <w:t>在实验班尝试</w:t>
      </w:r>
      <w:r>
        <w:rPr>
          <w:rFonts w:hint="eastAsia" w:ascii="仿宋_GB2312" w:hAnsi="仿宋_GB2312" w:eastAsia="仿宋_GB2312" w:cs="仿宋_GB2312"/>
          <w:sz w:val="32"/>
          <w:szCs w:val="32"/>
        </w:rPr>
        <w:t>打破传统的基础医学和临床医学分段式教学，有机整合基础医学、临床医学等课程，形成“以器官系统为主线，融形态与功能、基础与临床、医学与人文为一体”的基于器官系统的整合式课程体系。做好课程思政示范课程、典型案例等评选工作，发挥示范引领作用。</w:t>
      </w:r>
      <w:r>
        <w:rPr>
          <w:rFonts w:hint="eastAsia" w:ascii="仿宋_GB2312" w:hAnsi="仿宋" w:eastAsia="仿宋_GB2312" w:cs="仿宋_GB2312"/>
          <w:sz w:val="32"/>
          <w:szCs w:val="32"/>
        </w:rPr>
        <w:t>发挥课程思政教学研究中心作用，加强课程思政建设重点、难点、前瞻性问题的研究。完善实践教学体系，进一步提高实验实践类课程比重。全面落实学院《劳动教育课程实施方案》，将创新创业教育贯穿于人才培养全过</w:t>
      </w:r>
      <w:r>
        <w:rPr>
          <w:rFonts w:hint="eastAsia" w:ascii="仿宋_GB2312" w:hAnsi="仿宋_GB2312" w:eastAsia="仿宋_GB2312" w:cs="仿宋_GB2312"/>
          <w:sz w:val="32"/>
          <w:szCs w:val="32"/>
        </w:rPr>
        <w:t>程。深化体育教学改革，积极响应“三亿人参与冰雪运动”。实施在线开放课程建设</w:t>
      </w:r>
      <w:r>
        <w:rPr>
          <w:rFonts w:hint="eastAsia" w:ascii="仿宋_GB2312" w:hAnsi="仿宋" w:eastAsia="仿宋_GB2312" w:cs="仿宋_GB2312"/>
          <w:sz w:val="32"/>
          <w:szCs w:val="32"/>
        </w:rPr>
        <w:t>精品化战略，全面打造国家级、省级五大“金课”。</w:t>
      </w:r>
      <w:r>
        <w:rPr>
          <w:rFonts w:hint="eastAsia" w:ascii="仿宋_GB2312" w:hAnsi="仿宋_GB2312" w:eastAsia="仿宋_GB2312" w:cs="仿宋_GB2312"/>
          <w:sz w:val="32"/>
          <w:szCs w:val="32"/>
        </w:rPr>
        <w:t>建设智慧教室</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间，推进信息技术与教育教学深度融合。</w:t>
      </w:r>
    </w:p>
    <w:p>
      <w:pPr>
        <w:adjustRightInd w:val="0"/>
        <w:snapToGrid w:val="0"/>
        <w:spacing w:line="360" w:lineRule="auto"/>
        <w:ind w:firstLine="643" w:firstLineChars="200"/>
        <w:rPr>
          <w:rFonts w:ascii="仿宋_GB2312" w:hAnsi="仿宋" w:eastAsia="仿宋_GB2312"/>
          <w:sz w:val="32"/>
          <w:szCs w:val="32"/>
        </w:rPr>
      </w:pPr>
      <w:r>
        <w:rPr>
          <w:rFonts w:ascii="仿宋_GB2312" w:hAnsi="仿宋" w:eastAsia="仿宋_GB2312" w:cs="仿宋_GB2312"/>
          <w:b/>
          <w:bCs/>
          <w:sz w:val="32"/>
          <w:szCs w:val="32"/>
        </w:rPr>
        <w:t>4.</w:t>
      </w:r>
      <w:r>
        <w:rPr>
          <w:rFonts w:hint="eastAsia" w:ascii="仿宋_GB2312" w:hAnsi="仿宋" w:eastAsia="仿宋_GB2312" w:cs="仿宋_GB2312"/>
          <w:b/>
          <w:bCs/>
          <w:sz w:val="32"/>
          <w:szCs w:val="32"/>
        </w:rPr>
        <w:t>着力推进教材建设。</w:t>
      </w:r>
      <w:r>
        <w:rPr>
          <w:rFonts w:hint="eastAsia" w:ascii="仿宋_GB2312" w:hAnsi="仿宋" w:eastAsia="仿宋_GB2312" w:cs="仿宋_GB2312"/>
          <w:sz w:val="32"/>
          <w:szCs w:val="32"/>
        </w:rPr>
        <w:t>成立教材建设委员会，制定《教材建设委员会章程》《教材管理办法》，出台教材建设规划。</w:t>
      </w:r>
      <w:r>
        <w:rPr>
          <w:rFonts w:hint="eastAsia" w:ascii="仿宋_GB2312" w:hAnsi="宋体" w:eastAsia="仿宋_GB2312" w:cs="仿宋_GB2312"/>
          <w:sz w:val="32"/>
          <w:szCs w:val="32"/>
        </w:rPr>
        <w:t>积极参加人民卫生出版社教材编写工作，筹备五年制本科精神医学专业教材第三版编写工作，力争继续成为总主编单位和教材评审委员会主任委员单位，以主编或副主编身份参编人卫社教材或教学参考书</w:t>
      </w:r>
      <w:r>
        <w:rPr>
          <w:rFonts w:ascii="仿宋_GB2312" w:hAnsi="宋体" w:eastAsia="仿宋_GB2312" w:cs="仿宋_GB2312"/>
          <w:sz w:val="32"/>
          <w:szCs w:val="32"/>
        </w:rPr>
        <w:t>3</w:t>
      </w:r>
      <w:r>
        <w:rPr>
          <w:rFonts w:hint="eastAsia" w:ascii="仿宋_GB2312" w:hAnsi="宋体" w:eastAsia="仿宋_GB2312" w:cs="仿宋_GB2312"/>
          <w:sz w:val="32"/>
          <w:szCs w:val="32"/>
        </w:rPr>
        <w:t>～</w:t>
      </w:r>
      <w:r>
        <w:rPr>
          <w:rFonts w:ascii="仿宋_GB2312" w:hAnsi="宋体" w:eastAsia="仿宋_GB2312" w:cs="仿宋_GB2312"/>
          <w:sz w:val="32"/>
          <w:szCs w:val="32"/>
        </w:rPr>
        <w:t>4</w:t>
      </w:r>
      <w:r>
        <w:rPr>
          <w:rFonts w:hint="eastAsia" w:ascii="仿宋_GB2312" w:hAnsi="宋体" w:eastAsia="仿宋_GB2312" w:cs="仿宋_GB2312"/>
          <w:sz w:val="32"/>
          <w:szCs w:val="32"/>
        </w:rPr>
        <w:t>部；启动第四轮医学院校本科应用心理学专业规划教材编写工作</w:t>
      </w:r>
      <w:r>
        <w:rPr>
          <w:rFonts w:hint="eastAsia" w:ascii="仿宋_GB2312" w:hAnsi="仿宋" w:eastAsia="仿宋_GB2312" w:cs="仿宋_GB2312"/>
          <w:sz w:val="32"/>
          <w:szCs w:val="32"/>
        </w:rPr>
        <w:t>和“三导向”系列教材《临床前期整合概论》编写工作。</w:t>
      </w:r>
    </w:p>
    <w:p>
      <w:pPr>
        <w:adjustRightInd w:val="0"/>
        <w:snapToGrid w:val="0"/>
        <w:spacing w:line="360" w:lineRule="auto"/>
        <w:ind w:firstLine="643" w:firstLineChars="200"/>
        <w:rPr>
          <w:rFonts w:ascii="仿宋_GB2312" w:hAnsi="宋体" w:eastAsia="仿宋_GB2312"/>
          <w:sz w:val="32"/>
          <w:szCs w:val="32"/>
        </w:rPr>
      </w:pPr>
      <w:r>
        <w:rPr>
          <w:rFonts w:ascii="仿宋_GB2312" w:eastAsia="仿宋_GB2312" w:cs="仿宋_GB2312"/>
          <w:b/>
          <w:bCs/>
          <w:sz w:val="32"/>
          <w:szCs w:val="32"/>
        </w:rPr>
        <w:t>5.</w:t>
      </w:r>
      <w:r>
        <w:rPr>
          <w:rFonts w:hint="eastAsia" w:ascii="仿宋_GB2312" w:eastAsia="仿宋_GB2312" w:cs="仿宋_GB2312"/>
          <w:b/>
          <w:bCs/>
          <w:sz w:val="32"/>
          <w:szCs w:val="32"/>
        </w:rPr>
        <w:t>加强</w:t>
      </w:r>
      <w:r>
        <w:rPr>
          <w:rFonts w:hint="eastAsia" w:ascii="仿宋_GB2312" w:hAnsi="仿宋" w:eastAsia="仿宋_GB2312" w:cs="仿宋_GB2312"/>
          <w:b/>
          <w:bCs/>
          <w:sz w:val="32"/>
          <w:szCs w:val="32"/>
        </w:rPr>
        <w:t>实践教学基地管理。</w:t>
      </w:r>
      <w:r>
        <w:rPr>
          <w:rFonts w:hint="eastAsia" w:ascii="仿宋_GB2312" w:hAnsi="仿宋" w:eastAsia="仿宋_GB2312" w:cs="仿宋_GB2312"/>
          <w:sz w:val="32"/>
          <w:szCs w:val="32"/>
        </w:rPr>
        <w:t>持续完善附属医院教学条件，</w:t>
      </w:r>
      <w:r>
        <w:rPr>
          <w:rFonts w:hint="eastAsia" w:ascii="仿宋_GB2312" w:eastAsia="仿宋_GB2312" w:cs="仿宋_GB2312"/>
          <w:sz w:val="32"/>
          <w:szCs w:val="32"/>
        </w:rPr>
        <w:t>为“</w:t>
      </w:r>
      <w:r>
        <w:rPr>
          <w:rFonts w:ascii="仿宋_GB2312" w:eastAsia="仿宋_GB2312" w:cs="仿宋_GB2312"/>
          <w:sz w:val="32"/>
          <w:szCs w:val="32"/>
        </w:rPr>
        <w:t>2+3</w:t>
      </w:r>
      <w:r>
        <w:rPr>
          <w:rFonts w:hint="eastAsia" w:ascii="仿宋_GB2312" w:eastAsia="仿宋_GB2312" w:cs="仿宋_GB2312"/>
          <w:sz w:val="32"/>
          <w:szCs w:val="32"/>
        </w:rPr>
        <w:t>”教学模式提供基础保障。加强各附属医院临床技能实训中心建设，</w:t>
      </w:r>
      <w:r>
        <w:rPr>
          <w:rFonts w:hint="eastAsia" w:ascii="仿宋_GB2312" w:hAnsi="宋体" w:eastAsia="仿宋_GB2312" w:cs="仿宋_GB2312"/>
          <w:sz w:val="32"/>
          <w:szCs w:val="32"/>
        </w:rPr>
        <w:t>争创</w:t>
      </w:r>
      <w:r>
        <w:rPr>
          <w:rFonts w:hint="eastAsia" w:ascii="仿宋_GB2312" w:eastAsia="仿宋_GB2312" w:cs="仿宋_GB2312"/>
          <w:sz w:val="32"/>
          <w:szCs w:val="32"/>
        </w:rPr>
        <w:t>省级临床教学培训示范中心</w:t>
      </w:r>
      <w:r>
        <w:rPr>
          <w:rFonts w:hint="eastAsia" w:ascii="仿宋_GB2312" w:hAnsi="宋体" w:eastAsia="仿宋_GB2312" w:cs="仿宋_GB2312"/>
          <w:sz w:val="32"/>
          <w:szCs w:val="32"/>
        </w:rPr>
        <w:t>。</w:t>
      </w:r>
      <w:r>
        <w:rPr>
          <w:rFonts w:hint="eastAsia" w:ascii="仿宋_GB2312" w:hAnsi="仿宋" w:eastAsia="仿宋_GB2312" w:cs="仿宋_GB2312"/>
          <w:sz w:val="32"/>
          <w:szCs w:val="32"/>
        </w:rPr>
        <w:t>着重增加临床医学、生物医学工程、护理学、助产学等专业基地数量，优化药学类、预防医学、公共事业管理、应用心理学、社会工作等专业基地建设。</w:t>
      </w:r>
      <w:r>
        <w:rPr>
          <w:rFonts w:hint="eastAsia" w:ascii="仿宋_GB2312" w:hAnsi="宋体" w:eastAsia="仿宋_GB2312" w:cs="仿宋_GB2312"/>
          <w:sz w:val="32"/>
          <w:szCs w:val="32"/>
        </w:rPr>
        <w:t>加强临床教学质量评估和考核工作，建立临床教学“评价</w:t>
      </w:r>
      <w:r>
        <w:rPr>
          <w:rFonts w:ascii="仿宋_GB2312" w:hAnsi="宋体" w:eastAsia="仿宋_GB2312" w:cs="仿宋_GB2312"/>
          <w:sz w:val="32"/>
          <w:szCs w:val="32"/>
        </w:rPr>
        <w:t>-</w:t>
      </w:r>
      <w:r>
        <w:rPr>
          <w:rFonts w:hint="eastAsia" w:ascii="仿宋_GB2312" w:hAnsi="宋体" w:eastAsia="仿宋_GB2312" w:cs="仿宋_GB2312"/>
          <w:sz w:val="32"/>
          <w:szCs w:val="32"/>
        </w:rPr>
        <w:t>反馈</w:t>
      </w:r>
      <w:r>
        <w:rPr>
          <w:rFonts w:ascii="仿宋_GB2312" w:hAnsi="宋体" w:eastAsia="仿宋_GB2312" w:cs="仿宋_GB2312"/>
          <w:sz w:val="32"/>
          <w:szCs w:val="32"/>
        </w:rPr>
        <w:t>-</w:t>
      </w:r>
      <w:r>
        <w:rPr>
          <w:rFonts w:hint="eastAsia" w:ascii="仿宋_GB2312" w:hAnsi="宋体" w:eastAsia="仿宋_GB2312" w:cs="仿宋_GB2312"/>
          <w:sz w:val="32"/>
          <w:szCs w:val="32"/>
        </w:rPr>
        <w:t>改进”闭环评价体系。落实《加强教学全过程管理</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提升人才培养质量和执业医师考试通过率实施方案》，着力提高毕业生执业资格考试通过率。</w:t>
      </w:r>
    </w:p>
    <w:p>
      <w:pPr>
        <w:adjustRightInd w:val="0"/>
        <w:snapToGrid w:val="0"/>
        <w:spacing w:line="360" w:lineRule="auto"/>
        <w:ind w:firstLine="643" w:firstLineChars="200"/>
        <w:rPr>
          <w:rFonts w:ascii="仿宋_GB2312" w:eastAsia="仿宋_GB2312"/>
          <w:sz w:val="32"/>
          <w:szCs w:val="32"/>
        </w:rPr>
      </w:pPr>
      <w:r>
        <w:rPr>
          <w:rFonts w:ascii="仿宋_GB2312" w:eastAsia="仿宋_GB2312" w:cs="仿宋_GB2312"/>
          <w:b/>
          <w:bCs/>
          <w:sz w:val="32"/>
          <w:szCs w:val="32"/>
        </w:rPr>
        <w:t>6.</w:t>
      </w:r>
      <w:r>
        <w:rPr>
          <w:rFonts w:hint="eastAsia" w:ascii="仿宋_GB2312" w:eastAsia="仿宋_GB2312" w:cs="仿宋_GB2312"/>
          <w:b/>
          <w:bCs/>
          <w:sz w:val="32"/>
          <w:szCs w:val="32"/>
        </w:rPr>
        <w:t>强化高教研究与教学质量评估。</w:t>
      </w:r>
      <w:r>
        <w:rPr>
          <w:rFonts w:hint="eastAsia" w:ascii="仿宋_GB2312" w:eastAsia="仿宋_GB2312" w:cs="仿宋_GB2312"/>
          <w:sz w:val="32"/>
          <w:szCs w:val="32"/>
        </w:rPr>
        <w:t>全面做好迎接审核评估的各项准备工作，围绕审核评估重点，设立教学创新研究、专业课程思政研究、教育督导研究、临床教学实证研究等专项项目。做好教学成果奖培育工作，力争获得省高等教育教学成果一、二等奖</w:t>
      </w:r>
      <w:r>
        <w:rPr>
          <w:rFonts w:ascii="仿宋_GB2312" w:eastAsia="仿宋_GB2312" w:cs="仿宋_GB2312"/>
          <w:sz w:val="32"/>
          <w:szCs w:val="32"/>
        </w:rPr>
        <w:t>2</w:t>
      </w:r>
      <w:r>
        <w:rPr>
          <w:rFonts w:hint="eastAsia" w:ascii="仿宋_GB2312" w:eastAsia="仿宋_GB2312" w:cs="仿宋_GB2312"/>
          <w:sz w:val="32"/>
          <w:szCs w:val="32"/>
        </w:rPr>
        <w:t>项以上。落实新时代教育评价改革工作要求，修订学院《高等教育教学改革与研究项目管理办法》。系统推进审核评估准备工作，做好专业评估、课程评估、实验教学评估、临床教学评估等工作。</w:t>
      </w:r>
    </w:p>
    <w:p>
      <w:pPr>
        <w:adjustRightInd w:val="0"/>
        <w:snapToGrid w:val="0"/>
        <w:spacing w:line="360" w:lineRule="auto"/>
        <w:ind w:firstLine="643" w:firstLineChars="200"/>
        <w:rPr>
          <w:rFonts w:ascii="楷体" w:hAnsi="楷体" w:eastAsia="楷体" w:cs="楷体"/>
          <w:b/>
          <w:bCs/>
          <w:sz w:val="32"/>
          <w:szCs w:val="32"/>
        </w:rPr>
      </w:pPr>
      <w:r>
        <w:rPr>
          <w:rFonts w:hint="eastAsia" w:ascii="楷体" w:hAnsi="楷体" w:eastAsia="楷体" w:cs="楷体"/>
          <w:b/>
          <w:bCs/>
          <w:sz w:val="32"/>
          <w:szCs w:val="32"/>
        </w:rPr>
        <w:t>（二）持续推进科技兴院，全力提升学科建设和科研水平</w:t>
      </w:r>
      <w:r>
        <w:rPr>
          <w:rFonts w:ascii="楷体" w:hAnsi="楷体" w:eastAsia="楷体" w:cs="楷体"/>
          <w:b/>
          <w:bCs/>
          <w:sz w:val="32"/>
          <w:szCs w:val="32"/>
        </w:rPr>
        <w:t xml:space="preserve"> </w:t>
      </w:r>
    </w:p>
    <w:p>
      <w:pPr>
        <w:adjustRightInd w:val="0"/>
        <w:snapToGrid w:val="0"/>
        <w:spacing w:line="360" w:lineRule="auto"/>
        <w:ind w:firstLine="643" w:firstLineChars="200"/>
        <w:rPr>
          <w:rFonts w:ascii="仿宋_GB2312" w:hAnsi="仿宋" w:eastAsia="仿宋_GB2312"/>
          <w:sz w:val="32"/>
          <w:szCs w:val="32"/>
        </w:rPr>
      </w:pPr>
      <w:r>
        <w:rPr>
          <w:rFonts w:ascii="仿宋_GB2312" w:hAnsi="仿宋" w:eastAsia="仿宋_GB2312" w:cs="仿宋_GB2312"/>
          <w:b/>
          <w:bCs/>
          <w:sz w:val="32"/>
          <w:szCs w:val="32"/>
        </w:rPr>
        <w:t>7.</w:t>
      </w:r>
      <w:r>
        <w:rPr>
          <w:rFonts w:hint="eastAsia" w:ascii="仿宋_GB2312" w:hAnsi="仿宋" w:eastAsia="仿宋_GB2312" w:cs="仿宋_GB2312"/>
          <w:b/>
          <w:bCs/>
          <w:sz w:val="32"/>
          <w:szCs w:val="32"/>
        </w:rPr>
        <w:t>夯实学科建设基础。</w:t>
      </w:r>
      <w:r>
        <w:rPr>
          <w:rFonts w:hint="eastAsia" w:ascii="仿宋_GB2312" w:hAnsi="仿宋" w:eastAsia="仿宋_GB2312" w:cs="仿宋_GB2312"/>
          <w:sz w:val="32"/>
          <w:szCs w:val="32"/>
        </w:rPr>
        <w:t>及时完成新一轮学科带头人遴选工作，引进培养国内外高水平学科带头人和具有创新能力、发展潜力的青年学术骨干，切实加强学科建设与管理。持续加强医学技术、药学、临床医学、应用心理、护理、公共卫生、基础医学学科建设力度，确保顺利通过专项合格评估，重点建设口腔医学、生物学、马克思主义理论等下一轮申报硕士学位授权点的学科。培育精神病与精神卫生学等特色学科，使其早日达到省级领军人才梯队标准，持续开展省优势特色学科建设工作。</w:t>
      </w:r>
    </w:p>
    <w:p>
      <w:pPr>
        <w:pStyle w:val="22"/>
        <w:spacing w:line="360" w:lineRule="auto"/>
        <w:ind w:firstLine="643" w:firstLineChars="200"/>
        <w:rPr>
          <w:rFonts w:ascii="仿宋_GB2312" w:hAnsi="仿宋" w:eastAsia="仿宋_GB2312" w:cs="Times New Roman"/>
          <w:sz w:val="32"/>
          <w:szCs w:val="32"/>
        </w:rPr>
      </w:pPr>
      <w:r>
        <w:rPr>
          <w:rFonts w:ascii="仿宋_GB2312" w:hAnsi="仿宋" w:eastAsia="仿宋_GB2312" w:cs="仿宋_GB2312"/>
          <w:b/>
          <w:bCs/>
          <w:sz w:val="32"/>
          <w:szCs w:val="32"/>
        </w:rPr>
        <w:t>8.</w:t>
      </w:r>
      <w:r>
        <w:rPr>
          <w:rFonts w:hint="eastAsia" w:ascii="仿宋_GB2312" w:hAnsi="仿宋" w:eastAsia="仿宋_GB2312" w:cs="仿宋_GB2312"/>
          <w:b/>
          <w:bCs/>
          <w:sz w:val="32"/>
          <w:szCs w:val="32"/>
        </w:rPr>
        <w:t>提升科技创新能力。</w:t>
      </w:r>
      <w:r>
        <w:rPr>
          <w:rFonts w:hint="eastAsia" w:ascii="仿宋_GB2312" w:hAnsi="仿宋" w:eastAsia="仿宋_GB2312" w:cs="仿宋_GB2312"/>
          <w:sz w:val="32"/>
          <w:szCs w:val="32"/>
        </w:rPr>
        <w:t>进一步凝练科学研究方向，围绕重点学科领域，打造以学科领军人物为核心，以科研骨干为主体的科研创新团队</w:t>
      </w:r>
      <w:r>
        <w:rPr>
          <w:rFonts w:ascii="仿宋_GB2312" w:hAnsi="仿宋" w:eastAsia="仿宋_GB2312" w:cs="仿宋_GB2312"/>
          <w:sz w:val="32"/>
          <w:szCs w:val="32"/>
        </w:rPr>
        <w:t>3</w:t>
      </w:r>
      <w:r>
        <w:rPr>
          <w:rFonts w:hint="eastAsia" w:ascii="仿宋_GB2312" w:hAnsi="仿宋" w:eastAsia="仿宋_GB2312" w:cs="仿宋_GB2312"/>
          <w:sz w:val="32"/>
          <w:szCs w:val="32"/>
        </w:rPr>
        <w:t>～</w:t>
      </w:r>
      <w:r>
        <w:rPr>
          <w:rFonts w:ascii="仿宋_GB2312" w:hAnsi="仿宋" w:eastAsia="仿宋_GB2312" w:cs="仿宋_GB2312"/>
          <w:sz w:val="32"/>
          <w:szCs w:val="32"/>
        </w:rPr>
        <w:t>4</w:t>
      </w:r>
      <w:r>
        <w:rPr>
          <w:rFonts w:hint="eastAsia" w:ascii="仿宋_GB2312" w:hAnsi="仿宋" w:eastAsia="仿宋_GB2312" w:cs="仿宋_GB2312"/>
          <w:sz w:val="32"/>
          <w:szCs w:val="32"/>
        </w:rPr>
        <w:t>个，重点培养具有创新能力和发展潜力的青年学术骨干</w:t>
      </w:r>
      <w:r>
        <w:rPr>
          <w:rFonts w:ascii="仿宋_GB2312" w:hAnsi="仿宋" w:eastAsia="仿宋_GB2312" w:cs="仿宋_GB2312"/>
          <w:sz w:val="32"/>
          <w:szCs w:val="32"/>
        </w:rPr>
        <w:t>2</w:t>
      </w:r>
      <w:r>
        <w:rPr>
          <w:rFonts w:hint="eastAsia" w:ascii="仿宋_GB2312" w:hAnsi="仿宋" w:eastAsia="仿宋_GB2312" w:cs="仿宋_GB2312"/>
          <w:sz w:val="32"/>
          <w:szCs w:val="32"/>
        </w:rPr>
        <w:t>～</w:t>
      </w:r>
      <w:r>
        <w:rPr>
          <w:rFonts w:ascii="仿宋_GB2312" w:hAnsi="仿宋" w:eastAsia="仿宋_GB2312" w:cs="仿宋_GB2312"/>
          <w:sz w:val="32"/>
          <w:szCs w:val="32"/>
        </w:rPr>
        <w:t>3</w:t>
      </w:r>
      <w:r>
        <w:rPr>
          <w:rFonts w:hint="eastAsia" w:ascii="仿宋_GB2312" w:hAnsi="仿宋" w:eastAsia="仿宋_GB2312" w:cs="仿宋_GB2312"/>
          <w:sz w:val="32"/>
          <w:szCs w:val="32"/>
        </w:rPr>
        <w:t>人。探索生物技术创新，主动融入我省生物医药产业发展大局。深化以质量和贡献为导向的成果评价体系和成果奖励制度改革，力争获得国家级重大科研立项，积极开展国家重点项目联合立项，实现国际（地区）合作研究项目、区域创新发展联合基金项目及成果上的突破。开展高层次科技成果培育行动，力争在国家和省自然科学基金项目获批数量上保持上升势头，加大省部级科学技术奖及联合申报国家科技进步奖的力度。</w:t>
      </w:r>
    </w:p>
    <w:p>
      <w:pPr>
        <w:pStyle w:val="22"/>
        <w:spacing w:line="360" w:lineRule="auto"/>
        <w:ind w:firstLine="643" w:firstLineChars="200"/>
        <w:rPr>
          <w:rFonts w:ascii="仿宋_GB2312" w:hAnsi="仿宋" w:eastAsia="仿宋_GB2312" w:cs="Times New Roman"/>
          <w:sz w:val="32"/>
          <w:szCs w:val="32"/>
        </w:rPr>
      </w:pPr>
      <w:r>
        <w:rPr>
          <w:rFonts w:ascii="仿宋_GB2312" w:hAnsi="仿宋" w:eastAsia="仿宋_GB2312" w:cs="仿宋_GB2312"/>
          <w:b/>
          <w:bCs/>
          <w:sz w:val="32"/>
          <w:szCs w:val="32"/>
        </w:rPr>
        <w:t>9.</w:t>
      </w:r>
      <w:r>
        <w:rPr>
          <w:rFonts w:hint="eastAsia" w:ascii="仿宋_GB2312" w:hAnsi="仿宋" w:eastAsia="仿宋_GB2312" w:cs="仿宋_GB2312"/>
          <w:b/>
          <w:bCs/>
          <w:sz w:val="32"/>
          <w:szCs w:val="32"/>
        </w:rPr>
        <w:t>加强科研平台建设。</w:t>
      </w:r>
      <w:r>
        <w:rPr>
          <w:rFonts w:hint="eastAsia" w:ascii="仿宋_GB2312" w:hAnsi="仿宋" w:eastAsia="仿宋_GB2312" w:cs="仿宋_GB2312"/>
          <w:sz w:val="32"/>
          <w:szCs w:val="32"/>
        </w:rPr>
        <w:t>加大省部级重点实验室培育力度，天然药物抗肿瘤省级重点实验室力争申报教育部重点实验室，乳腺肿瘤实验室力争通过黑龙江省重点实验室备案。卫生检验中心力争通过国家实验室认可委复审，巩固国家级（国际）实验室资质能力，拓展对外检验检测服务途径。</w:t>
      </w:r>
    </w:p>
    <w:p>
      <w:pPr>
        <w:pStyle w:val="22"/>
        <w:spacing w:line="360" w:lineRule="auto"/>
        <w:ind w:firstLine="643" w:firstLineChars="200"/>
        <w:rPr>
          <w:rFonts w:ascii="仿宋_GB2312" w:hAnsi="仿宋" w:eastAsia="仿宋_GB2312" w:cs="Times New Roman"/>
          <w:sz w:val="32"/>
          <w:szCs w:val="32"/>
        </w:rPr>
      </w:pPr>
      <w:r>
        <w:rPr>
          <w:rFonts w:ascii="仿宋_GB2312" w:hAnsi="仿宋" w:eastAsia="仿宋_GB2312" w:cs="仿宋_GB2312"/>
          <w:b/>
          <w:bCs/>
          <w:sz w:val="32"/>
          <w:szCs w:val="32"/>
        </w:rPr>
        <w:t>10.</w:t>
      </w:r>
      <w:r>
        <w:rPr>
          <w:rFonts w:hint="eastAsia" w:ascii="仿宋_GB2312" w:hAnsi="仿宋" w:eastAsia="仿宋_GB2312" w:cs="仿宋_GB2312"/>
          <w:b/>
          <w:bCs/>
          <w:sz w:val="32"/>
          <w:szCs w:val="32"/>
        </w:rPr>
        <w:t>加快科技成果转化。</w:t>
      </w:r>
      <w:r>
        <w:rPr>
          <w:rFonts w:hint="eastAsia" w:ascii="仿宋_GB2312" w:hAnsi="仿宋" w:eastAsia="仿宋_GB2312" w:cs="仿宋_GB2312"/>
          <w:sz w:val="32"/>
          <w:szCs w:val="32"/>
        </w:rPr>
        <w:t>协助省卫健委、省中医药管理局，做好金莲花、芦苇嫩茎</w:t>
      </w:r>
      <w:r>
        <w:rPr>
          <w:rFonts w:ascii="仿宋_GB2312" w:hAnsi="仿宋" w:eastAsia="仿宋_GB2312" w:cs="仿宋_GB2312"/>
          <w:sz w:val="32"/>
          <w:szCs w:val="32"/>
        </w:rPr>
        <w:t>2</w:t>
      </w:r>
      <w:r>
        <w:rPr>
          <w:rFonts w:hint="eastAsia" w:ascii="仿宋_GB2312" w:hAnsi="仿宋" w:eastAsia="仿宋_GB2312" w:cs="仿宋_GB2312"/>
          <w:sz w:val="32"/>
          <w:szCs w:val="32"/>
        </w:rPr>
        <w:t>项地方食品标准和苍术、紫苏</w:t>
      </w:r>
      <w:r>
        <w:rPr>
          <w:rFonts w:ascii="仿宋_GB2312" w:hAnsi="仿宋" w:eastAsia="仿宋_GB2312" w:cs="仿宋_GB2312"/>
          <w:sz w:val="32"/>
          <w:szCs w:val="32"/>
        </w:rPr>
        <w:t>2</w:t>
      </w:r>
      <w:r>
        <w:rPr>
          <w:rFonts w:hint="eastAsia" w:ascii="仿宋_GB2312" w:hAnsi="仿宋" w:eastAsia="仿宋_GB2312" w:cs="仿宋_GB2312"/>
          <w:sz w:val="32"/>
          <w:szCs w:val="32"/>
        </w:rPr>
        <w:t>项道地药材质量标准制定工作。发挥黄芪全株综合利用优势，促进黄芪全产业链发展，开发具有替抗功能的黄芪茎叶预混合饲料和黄芪根饲料添加剂，自主研发黄芪地上部分保健食品</w:t>
      </w:r>
      <w:r>
        <w:rPr>
          <w:rFonts w:ascii="仿宋_GB2312" w:hAnsi="仿宋" w:eastAsia="仿宋_GB2312" w:cs="仿宋_GB2312"/>
          <w:sz w:val="32"/>
          <w:szCs w:val="32"/>
        </w:rPr>
        <w:t>2</w:t>
      </w:r>
      <w:r>
        <w:rPr>
          <w:rFonts w:hint="eastAsia" w:ascii="仿宋_GB2312" w:hAnsi="仿宋" w:eastAsia="仿宋_GB2312" w:cs="仿宋_GB2312"/>
          <w:sz w:val="32"/>
          <w:szCs w:val="32"/>
        </w:rPr>
        <w:t>项，将基础研究转化为具有直接经济效益、社会效益的应用研究成果。完成三清凉茶、北芪颐生咀嚼片和视宝片等产品的研发与中试。</w:t>
      </w:r>
    </w:p>
    <w:p>
      <w:pPr>
        <w:pStyle w:val="22"/>
        <w:spacing w:line="360" w:lineRule="auto"/>
        <w:ind w:firstLine="643" w:firstLineChars="200"/>
        <w:rPr>
          <w:rFonts w:ascii="仿宋_GB2312" w:hAnsi="仿宋" w:eastAsia="仿宋_GB2312" w:cs="Times New Roman"/>
          <w:sz w:val="32"/>
          <w:szCs w:val="32"/>
        </w:rPr>
      </w:pPr>
      <w:r>
        <w:rPr>
          <w:rFonts w:ascii="仿宋_GB2312" w:hAnsi="仿宋" w:eastAsia="仿宋_GB2312" w:cs="仿宋_GB2312"/>
          <w:b/>
          <w:bCs/>
          <w:sz w:val="32"/>
          <w:szCs w:val="32"/>
        </w:rPr>
        <w:t>11.</w:t>
      </w:r>
      <w:r>
        <w:rPr>
          <w:rFonts w:hint="eastAsia" w:ascii="仿宋_GB2312" w:hAnsi="仿宋" w:eastAsia="仿宋_GB2312" w:cs="仿宋_GB2312"/>
          <w:b/>
          <w:bCs/>
          <w:sz w:val="32"/>
          <w:szCs w:val="32"/>
        </w:rPr>
        <w:t>做好科研管理和学术交流。</w:t>
      </w:r>
      <w:r>
        <w:rPr>
          <w:rFonts w:hint="eastAsia" w:ascii="仿宋_GB2312" w:hAnsi="仿宋" w:eastAsia="仿宋_GB2312" w:cs="仿宋_GB2312"/>
          <w:sz w:val="32"/>
          <w:szCs w:val="32"/>
        </w:rPr>
        <w:t>修订《学院专利管理办法》，加强知识产权保护宣传教育。制定《学院科研诚信与作风学风行为规范》，对学术不端行为零容忍，营造风清气正的学术氛围。组织开展高层次学术交流活动，积极承办具有广泛影响力的国家级学术会议，定期举办“精诚讲堂”。组织召开学院社科联第二次代表大会、科学技术协会第四届会员代表大会，完成新一届委员和组织机构换届工作。</w:t>
      </w:r>
    </w:p>
    <w:p>
      <w:pPr>
        <w:pStyle w:val="22"/>
        <w:spacing w:line="360" w:lineRule="auto"/>
        <w:ind w:firstLine="643" w:firstLineChars="200"/>
        <w:rPr>
          <w:rFonts w:ascii="仿宋_GB2312" w:hAnsi="仿宋" w:eastAsia="仿宋_GB2312" w:cs="Times New Roman"/>
          <w:sz w:val="32"/>
          <w:szCs w:val="32"/>
        </w:rPr>
      </w:pPr>
      <w:r>
        <w:rPr>
          <w:rFonts w:ascii="仿宋_GB2312" w:hAnsi="仿宋" w:eastAsia="仿宋_GB2312" w:cs="仿宋_GB2312"/>
          <w:b/>
          <w:bCs/>
          <w:kern w:val="2"/>
          <w:sz w:val="32"/>
          <w:szCs w:val="32"/>
        </w:rPr>
        <w:t>12.</w:t>
      </w:r>
      <w:r>
        <w:rPr>
          <w:rFonts w:hint="eastAsia" w:ascii="仿宋_GB2312" w:hAnsi="仿宋" w:eastAsia="仿宋_GB2312" w:cs="仿宋_GB2312"/>
          <w:b/>
          <w:bCs/>
          <w:kern w:val="2"/>
          <w:sz w:val="32"/>
          <w:szCs w:val="32"/>
        </w:rPr>
        <w:t>全面提高研究生教育质量。</w:t>
      </w:r>
      <w:r>
        <w:rPr>
          <w:rFonts w:hint="eastAsia" w:ascii="仿宋_GB2312" w:hAnsi="仿宋" w:eastAsia="仿宋_GB2312" w:cs="仿宋_GB2312"/>
          <w:sz w:val="32"/>
          <w:szCs w:val="32"/>
        </w:rPr>
        <w:t>加强高素质导师队伍建设，为研究生教育和学位点发展提供人才支持。增加联合培养博士研究生导师数量，开展博士后科研工作站独立招收博士后工作，争取</w:t>
      </w:r>
      <w:r>
        <w:rPr>
          <w:rFonts w:ascii="仿宋_GB2312" w:hAnsi="仿宋" w:eastAsia="仿宋_GB2312" w:cs="仿宋_GB2312"/>
          <w:sz w:val="32"/>
          <w:szCs w:val="32"/>
        </w:rPr>
        <w:t>3</w:t>
      </w:r>
      <w:r>
        <w:rPr>
          <w:rFonts w:hint="eastAsia" w:ascii="仿宋_GB2312" w:hAnsi="仿宋" w:eastAsia="仿宋_GB2312" w:cs="仿宋_GB2312"/>
          <w:sz w:val="32"/>
          <w:szCs w:val="32"/>
        </w:rPr>
        <w:t>～</w:t>
      </w:r>
      <w:r>
        <w:rPr>
          <w:rFonts w:ascii="仿宋_GB2312" w:hAnsi="仿宋" w:eastAsia="仿宋_GB2312" w:cs="仿宋_GB2312"/>
          <w:sz w:val="32"/>
          <w:szCs w:val="32"/>
        </w:rPr>
        <w:t>4</w:t>
      </w:r>
      <w:r>
        <w:rPr>
          <w:rFonts w:hint="eastAsia" w:ascii="仿宋_GB2312" w:hAnsi="仿宋" w:eastAsia="仿宋_GB2312" w:cs="仿宋_GB2312"/>
          <w:sz w:val="32"/>
          <w:szCs w:val="32"/>
        </w:rPr>
        <w:t>名博士进站、</w:t>
      </w:r>
      <w:r>
        <w:rPr>
          <w:rFonts w:ascii="仿宋_GB2312" w:hAnsi="仿宋" w:eastAsia="仿宋_GB2312" w:cs="仿宋_GB2312"/>
          <w:sz w:val="32"/>
          <w:szCs w:val="32"/>
        </w:rPr>
        <w:t>1</w:t>
      </w:r>
      <w:r>
        <w:rPr>
          <w:rFonts w:hint="eastAsia" w:ascii="仿宋_GB2312" w:hAnsi="仿宋" w:eastAsia="仿宋_GB2312" w:cs="仿宋_GB2312"/>
          <w:sz w:val="32"/>
          <w:szCs w:val="32"/>
        </w:rPr>
        <w:t>～</w:t>
      </w:r>
      <w:r>
        <w:rPr>
          <w:rFonts w:ascii="仿宋_GB2312" w:hAnsi="仿宋" w:eastAsia="仿宋_GB2312" w:cs="仿宋_GB2312"/>
          <w:sz w:val="32"/>
          <w:szCs w:val="32"/>
        </w:rPr>
        <w:t>2</w:t>
      </w:r>
      <w:r>
        <w:rPr>
          <w:rFonts w:hint="eastAsia" w:ascii="仿宋_GB2312" w:hAnsi="仿宋" w:eastAsia="仿宋_GB2312" w:cs="仿宋_GB2312"/>
          <w:sz w:val="32"/>
          <w:szCs w:val="32"/>
        </w:rPr>
        <w:t>名博士后出站。积极开展研究生招生宣传，吸引优质生源报考；设立研究生创新基金项目，提高研究生创新能力；进一步规范研究生“三助”管理，全面开展研究生党建带团建工作，成立研究生党支部和学生会，组建学生管理队伍。全面做好</w:t>
      </w:r>
      <w:r>
        <w:rPr>
          <w:rFonts w:ascii="仿宋_GB2312" w:hAnsi="仿宋" w:eastAsia="仿宋_GB2312" w:cs="仿宋_GB2312"/>
          <w:sz w:val="32"/>
          <w:szCs w:val="32"/>
        </w:rPr>
        <w:t>2022</w:t>
      </w:r>
      <w:r>
        <w:rPr>
          <w:rFonts w:hint="eastAsia" w:ascii="仿宋_GB2312" w:hAnsi="仿宋" w:eastAsia="仿宋_GB2312" w:cs="仿宋_GB2312"/>
          <w:sz w:val="32"/>
          <w:szCs w:val="32"/>
        </w:rPr>
        <w:t>届硕士研究生学位论文答辩、学位授予、就业指导工作。</w:t>
      </w:r>
    </w:p>
    <w:p>
      <w:pPr>
        <w:adjustRightInd w:val="0"/>
        <w:snapToGrid w:val="0"/>
        <w:spacing w:line="360" w:lineRule="auto"/>
        <w:ind w:firstLine="643" w:firstLineChars="200"/>
        <w:rPr>
          <w:rFonts w:ascii="楷体" w:hAnsi="楷体" w:eastAsia="楷体"/>
          <w:b/>
          <w:bCs/>
          <w:sz w:val="32"/>
          <w:szCs w:val="32"/>
        </w:rPr>
      </w:pPr>
      <w:r>
        <w:rPr>
          <w:rFonts w:hint="eastAsia" w:ascii="楷体" w:hAnsi="楷体" w:eastAsia="楷体" w:cs="楷体"/>
          <w:b/>
          <w:bCs/>
          <w:sz w:val="32"/>
          <w:szCs w:val="32"/>
        </w:rPr>
        <w:t>（三）持续推进医教研一体化，全力增强医疗核心竞争力</w:t>
      </w:r>
    </w:p>
    <w:p>
      <w:pPr>
        <w:pStyle w:val="22"/>
        <w:spacing w:line="360" w:lineRule="auto"/>
        <w:ind w:firstLine="643" w:firstLineChars="200"/>
        <w:rPr>
          <w:rFonts w:ascii="仿宋_GB2312" w:eastAsia="仿宋_GB2312" w:cs="Times New Roman"/>
          <w:sz w:val="32"/>
          <w:szCs w:val="32"/>
        </w:rPr>
      </w:pPr>
      <w:r>
        <w:rPr>
          <w:rFonts w:ascii="仿宋_GB2312" w:eastAsia="仿宋_GB2312" w:cs="仿宋_GB2312"/>
          <w:b/>
          <w:bCs/>
          <w:sz w:val="32"/>
          <w:szCs w:val="32"/>
        </w:rPr>
        <w:t>13.</w:t>
      </w:r>
      <w:r>
        <w:rPr>
          <w:rFonts w:hint="eastAsia" w:ascii="仿宋_GB2312" w:eastAsia="仿宋_GB2312" w:cs="仿宋_GB2312"/>
          <w:b/>
          <w:bCs/>
          <w:sz w:val="32"/>
          <w:szCs w:val="32"/>
        </w:rPr>
        <w:t>优化现代医院管理。</w:t>
      </w:r>
      <w:r>
        <w:rPr>
          <w:rFonts w:hint="eastAsia" w:ascii="仿宋_GB2312" w:eastAsia="仿宋_GB2312" w:cs="仿宋_GB2312"/>
          <w:sz w:val="32"/>
          <w:szCs w:val="32"/>
        </w:rPr>
        <w:t>全面落实党委领导下的院长负责制，以医院章程为统领，健全规范化、精细化、科学化的现代医院管理制度。全面落实“四个重点建设行动”和“四个能力提升行动”，狠抓内涵、寻找差距、迎头赶上，以饱满的精神和必胜的信心投入到“三甲医院”迎检工作中去，确保顺利通过评审验收。全面落实医改工作，出台《学院关于进一步加强三级公立医院绩效考核工作实施方案》，坚持问题导向，将考核指标分解到医院各科室、责任到人，深入研究整改并逐项提升。积极调整病种收治结构，提高医疗服务收入占比，降低药品和耗材费用占比</w:t>
      </w:r>
      <w:r>
        <w:rPr>
          <w:rFonts w:ascii="仿宋_GB2312" w:eastAsia="仿宋_GB2312" w:cs="仿宋_GB2312"/>
          <w:sz w:val="32"/>
          <w:szCs w:val="32"/>
        </w:rPr>
        <w:t>,</w:t>
      </w:r>
      <w:r>
        <w:rPr>
          <w:rFonts w:hint="eastAsia" w:ascii="仿宋_GB2312" w:eastAsia="仿宋_GB2312" w:cs="仿宋_GB2312"/>
          <w:sz w:val="32"/>
          <w:szCs w:val="32"/>
        </w:rPr>
        <w:t>逐步降低负债率。做好附属医院人才引进和培养工作，持续打造高素质、稳定的专业技术人才队伍。全面做好附属医疗机构疫情防控常态化管理和督导检查工作，消除防控盲点死角，坚决杜绝院内感染。</w:t>
      </w:r>
    </w:p>
    <w:p>
      <w:pPr>
        <w:pStyle w:val="22"/>
        <w:spacing w:line="360" w:lineRule="auto"/>
        <w:ind w:firstLine="643" w:firstLineChars="200"/>
        <w:rPr>
          <w:rFonts w:ascii="仿宋_GB2312" w:eastAsia="仿宋_GB2312" w:cs="Times New Roman"/>
          <w:sz w:val="32"/>
          <w:szCs w:val="32"/>
        </w:rPr>
      </w:pPr>
      <w:r>
        <w:rPr>
          <w:rFonts w:ascii="仿宋_GB2312" w:eastAsia="仿宋_GB2312" w:cs="仿宋_GB2312"/>
          <w:b/>
          <w:bCs/>
          <w:sz w:val="32"/>
          <w:szCs w:val="32"/>
        </w:rPr>
        <w:t>14.</w:t>
      </w:r>
      <w:r>
        <w:rPr>
          <w:rFonts w:hint="eastAsia" w:ascii="仿宋_GB2312" w:eastAsia="仿宋_GB2312" w:cs="仿宋_GB2312"/>
          <w:b/>
          <w:bCs/>
          <w:sz w:val="32"/>
          <w:szCs w:val="32"/>
        </w:rPr>
        <w:t>深化学术型医院建设。</w:t>
      </w:r>
      <w:r>
        <w:rPr>
          <w:rFonts w:hint="eastAsia" w:ascii="仿宋_GB2312" w:eastAsia="仿宋_GB2312" w:cs="仿宋_GB2312"/>
          <w:sz w:val="32"/>
          <w:szCs w:val="32"/>
        </w:rPr>
        <w:t>出台《学院学术型科室和学术型医生建设实施方案》《学院学术型科室和学术型医生评审考核办法》，促进以临床为基础的疑难危重症诊断治疗技术攻关和前沿医学科技创新研究及成果转化，建设学术型科室</w:t>
      </w:r>
      <w:r>
        <w:rPr>
          <w:rFonts w:ascii="仿宋_GB2312" w:eastAsia="仿宋_GB2312" w:cs="仿宋_GB2312"/>
          <w:sz w:val="32"/>
          <w:szCs w:val="32"/>
        </w:rPr>
        <w:t>5</w:t>
      </w:r>
      <w:r>
        <w:rPr>
          <w:rFonts w:hint="eastAsia" w:ascii="仿宋_GB2312" w:eastAsia="仿宋_GB2312" w:cs="仿宋_GB2312"/>
          <w:sz w:val="32"/>
          <w:szCs w:val="32"/>
        </w:rPr>
        <w:t>～</w:t>
      </w:r>
      <w:r>
        <w:rPr>
          <w:rFonts w:ascii="仿宋_GB2312" w:eastAsia="仿宋_GB2312" w:cs="仿宋_GB2312"/>
          <w:sz w:val="32"/>
          <w:szCs w:val="32"/>
        </w:rPr>
        <w:t>10</w:t>
      </w:r>
      <w:r>
        <w:rPr>
          <w:rFonts w:hint="eastAsia" w:ascii="仿宋_GB2312" w:eastAsia="仿宋_GB2312" w:cs="仿宋_GB2312"/>
          <w:sz w:val="32"/>
          <w:szCs w:val="32"/>
        </w:rPr>
        <w:t>个、遴选学术型医生</w:t>
      </w:r>
      <w:r>
        <w:rPr>
          <w:rFonts w:ascii="仿宋_GB2312" w:eastAsia="仿宋_GB2312" w:cs="仿宋_GB2312"/>
          <w:sz w:val="32"/>
          <w:szCs w:val="32"/>
        </w:rPr>
        <w:t>5</w:t>
      </w:r>
      <w:r>
        <w:rPr>
          <w:rFonts w:hint="eastAsia" w:ascii="仿宋_GB2312" w:eastAsia="仿宋_GB2312" w:cs="仿宋_GB2312"/>
          <w:sz w:val="32"/>
          <w:szCs w:val="32"/>
        </w:rPr>
        <w:t>～</w:t>
      </w:r>
      <w:r>
        <w:rPr>
          <w:rFonts w:ascii="仿宋_GB2312" w:eastAsia="仿宋_GB2312" w:cs="仿宋_GB2312"/>
          <w:sz w:val="32"/>
          <w:szCs w:val="32"/>
        </w:rPr>
        <w:t>10</w:t>
      </w:r>
      <w:r>
        <w:rPr>
          <w:rFonts w:hint="eastAsia" w:ascii="仿宋_GB2312" w:eastAsia="仿宋_GB2312" w:cs="仿宋_GB2312"/>
          <w:sz w:val="32"/>
          <w:szCs w:val="32"/>
        </w:rPr>
        <w:t>人。制定临床医学重点研究方向和计划，设立临床科研基金，推动临床医学学科建设稳步发展。进一步发挥附属医院中心实验室作用，建设优势病种科研数据库及生物样本库，积极承担大型临床试验。深化医教协同，继续遴选临床骨干教师参加临床教师教学发展工程培训，有效提高临床教师教学水平与教学能力；加强附属四院学术内涵建设，在附属三院建成一定规模的精神科病房，推动附属一院精神科提档升级，为国家级一流本科专业验收提供有力支撑。进一步推做好住院医师规范化培训工作，提高住培学员临床知识和实践能力，提升住培学员结业考核通过率。</w:t>
      </w:r>
    </w:p>
    <w:p>
      <w:pPr>
        <w:pStyle w:val="22"/>
        <w:spacing w:line="360" w:lineRule="auto"/>
        <w:ind w:firstLine="643" w:firstLineChars="200"/>
        <w:rPr>
          <w:rFonts w:ascii="仿宋_GB2312" w:eastAsia="仿宋_GB2312" w:cs="Times New Roman"/>
          <w:color w:val="000000"/>
          <w:sz w:val="32"/>
          <w:szCs w:val="32"/>
        </w:rPr>
      </w:pPr>
      <w:r>
        <w:rPr>
          <w:rFonts w:ascii="仿宋_GB2312" w:hAnsi="华文仿宋" w:eastAsia="仿宋_GB2312" w:cs="仿宋_GB2312"/>
          <w:b/>
          <w:bCs/>
          <w:sz w:val="32"/>
          <w:szCs w:val="32"/>
        </w:rPr>
        <w:t>15.</w:t>
      </w:r>
      <w:r>
        <w:rPr>
          <w:rFonts w:hint="eastAsia" w:ascii="仿宋_GB2312" w:hAnsi="仿宋_GB2312" w:eastAsia="仿宋_GB2312" w:cs="仿宋_GB2312"/>
          <w:b/>
          <w:bCs/>
          <w:sz w:val="32"/>
          <w:szCs w:val="32"/>
        </w:rPr>
        <w:t>提升医疗服务质量和诊疗水平。</w:t>
      </w:r>
      <w:r>
        <w:rPr>
          <w:rFonts w:hint="eastAsia" w:ascii="仿宋_GB2312" w:hAnsi="华文仿宋" w:eastAsia="仿宋_GB2312" w:cs="仿宋_GB2312"/>
          <w:sz w:val="32"/>
          <w:szCs w:val="32"/>
        </w:rPr>
        <w:t>加强现有国家级、省级临床重点专科建设，组织开展临床重点专科评审，建设院级临床重点专科</w:t>
      </w:r>
      <w:r>
        <w:rPr>
          <w:rFonts w:ascii="仿宋_GB2312" w:hAnsi="华文仿宋" w:eastAsia="仿宋_GB2312" w:cs="仿宋_GB2312"/>
          <w:sz w:val="32"/>
          <w:szCs w:val="32"/>
        </w:rPr>
        <w:t>5</w:t>
      </w:r>
      <w:r>
        <w:rPr>
          <w:rFonts w:hint="eastAsia" w:ascii="仿宋_GB2312" w:hAnsi="华文仿宋" w:eastAsia="仿宋_GB2312" w:cs="仿宋_GB2312"/>
          <w:sz w:val="32"/>
          <w:szCs w:val="32"/>
        </w:rPr>
        <w:t>～</w:t>
      </w:r>
      <w:r>
        <w:rPr>
          <w:rFonts w:ascii="仿宋_GB2312" w:hAnsi="华文仿宋" w:eastAsia="仿宋_GB2312" w:cs="仿宋_GB2312"/>
          <w:sz w:val="32"/>
          <w:szCs w:val="32"/>
        </w:rPr>
        <w:t>10</w:t>
      </w:r>
      <w:r>
        <w:rPr>
          <w:rFonts w:hint="eastAsia" w:ascii="仿宋_GB2312" w:hAnsi="华文仿宋" w:eastAsia="仿宋_GB2312" w:cs="仿宋_GB2312"/>
          <w:sz w:val="32"/>
          <w:szCs w:val="32"/>
        </w:rPr>
        <w:t>个，做好省级重点专科的培育工作，力争新增省级重点专科</w:t>
      </w:r>
      <w:r>
        <w:rPr>
          <w:rFonts w:ascii="仿宋_GB2312" w:hAnsi="华文仿宋" w:eastAsia="仿宋_GB2312" w:cs="仿宋_GB2312"/>
          <w:sz w:val="32"/>
          <w:szCs w:val="32"/>
        </w:rPr>
        <w:t>1</w:t>
      </w:r>
      <w:r>
        <w:rPr>
          <w:rFonts w:hint="eastAsia" w:ascii="仿宋_GB2312" w:hAnsi="华文仿宋" w:eastAsia="仿宋_GB2312" w:cs="仿宋_GB2312"/>
          <w:sz w:val="32"/>
          <w:szCs w:val="32"/>
        </w:rPr>
        <w:t>～</w:t>
      </w:r>
      <w:r>
        <w:rPr>
          <w:rFonts w:ascii="仿宋_GB2312" w:hAnsi="华文仿宋" w:eastAsia="仿宋_GB2312" w:cs="仿宋_GB2312"/>
          <w:sz w:val="32"/>
          <w:szCs w:val="32"/>
        </w:rPr>
        <w:t>2</w:t>
      </w:r>
      <w:r>
        <w:rPr>
          <w:rFonts w:hint="eastAsia" w:ascii="仿宋_GB2312" w:hAnsi="华文仿宋" w:eastAsia="仿宋_GB2312" w:cs="仿宋_GB2312"/>
          <w:sz w:val="32"/>
          <w:szCs w:val="32"/>
        </w:rPr>
        <w:t>个。鼓励和支持附属医院开展成熟、适用、先进的医疗新技术，力争获批省医疗卫生新技术推广项目</w:t>
      </w:r>
      <w:r>
        <w:rPr>
          <w:rFonts w:ascii="仿宋_GB2312" w:hAnsi="华文仿宋" w:eastAsia="仿宋_GB2312" w:cs="仿宋_GB2312"/>
          <w:sz w:val="32"/>
          <w:szCs w:val="32"/>
        </w:rPr>
        <w:t>30</w:t>
      </w:r>
      <w:r>
        <w:rPr>
          <w:rFonts w:hint="eastAsia" w:ascii="仿宋_GB2312" w:hAnsi="华文仿宋" w:eastAsia="仿宋_GB2312" w:cs="仿宋_GB2312"/>
          <w:sz w:val="32"/>
          <w:szCs w:val="32"/>
        </w:rPr>
        <w:t>～</w:t>
      </w:r>
      <w:r>
        <w:rPr>
          <w:rFonts w:ascii="仿宋_GB2312" w:hAnsi="华文仿宋" w:eastAsia="仿宋_GB2312" w:cs="仿宋_GB2312"/>
          <w:sz w:val="32"/>
          <w:szCs w:val="32"/>
        </w:rPr>
        <w:t>35</w:t>
      </w:r>
      <w:r>
        <w:rPr>
          <w:rFonts w:hint="eastAsia" w:ascii="仿宋_GB2312" w:hAnsi="华文仿宋" w:eastAsia="仿宋_GB2312" w:cs="仿宋_GB2312"/>
          <w:sz w:val="32"/>
          <w:szCs w:val="32"/>
        </w:rPr>
        <w:t>项。加强医德医风建设，组织开展第三届“模范护理工作者”评选工作，打造有温度的医院，</w:t>
      </w:r>
      <w:r>
        <w:rPr>
          <w:rFonts w:hint="eastAsia" w:ascii="仿宋_GB2312" w:hAnsi="仿宋" w:eastAsia="仿宋_GB2312" w:cs="仿宋_GB2312"/>
          <w:sz w:val="32"/>
          <w:szCs w:val="32"/>
        </w:rPr>
        <w:t>持续提升患者满意度</w:t>
      </w:r>
      <w:r>
        <w:rPr>
          <w:rFonts w:hint="eastAsia" w:ascii="仿宋_GB2312" w:hAnsi="华文仿宋" w:eastAsia="仿宋_GB2312" w:cs="仿宋_GB2312"/>
          <w:sz w:val="32"/>
          <w:szCs w:val="32"/>
        </w:rPr>
        <w:t>。有序推进智慧医院建设，持续推进互联网医院服务举措，全面提升信息化水平。</w:t>
      </w:r>
      <w:r>
        <w:rPr>
          <w:rFonts w:hint="eastAsia" w:ascii="仿宋_GB2312" w:eastAsia="仿宋_GB2312" w:cs="仿宋_GB2312"/>
          <w:color w:val="000000"/>
          <w:sz w:val="32"/>
          <w:szCs w:val="32"/>
        </w:rPr>
        <w:t>加快</w:t>
      </w:r>
      <w:r>
        <w:rPr>
          <w:rFonts w:hint="eastAsia" w:ascii="仿宋_GB2312" w:hAnsi="华文仿宋" w:eastAsia="仿宋_GB2312" w:cs="仿宋_GB2312"/>
          <w:sz w:val="32"/>
          <w:szCs w:val="32"/>
        </w:rPr>
        <w:t>临床病理诊断中心</w:t>
      </w:r>
      <w:r>
        <w:rPr>
          <w:rFonts w:hint="eastAsia" w:ascii="仿宋_GB2312" w:eastAsia="仿宋_GB2312" w:cs="仿宋_GB2312"/>
          <w:color w:val="000000"/>
          <w:sz w:val="32"/>
          <w:szCs w:val="32"/>
        </w:rPr>
        <w:t>分子病理诊断技术的发展，拓展肾活检电镜诊断应用的市场，推进</w:t>
      </w:r>
      <w:r>
        <w:rPr>
          <w:rFonts w:ascii="仿宋_GB2312" w:eastAsia="仿宋_GB2312" w:cs="仿宋_GB2312"/>
          <w:color w:val="000000"/>
          <w:sz w:val="32"/>
          <w:szCs w:val="32"/>
        </w:rPr>
        <w:t>5G</w:t>
      </w:r>
      <w:r>
        <w:rPr>
          <w:rFonts w:hint="eastAsia" w:ascii="仿宋_GB2312" w:eastAsia="仿宋_GB2312" w:cs="仿宋_GB2312"/>
          <w:color w:val="000000"/>
          <w:sz w:val="32"/>
          <w:szCs w:val="32"/>
        </w:rPr>
        <w:t>远程诊断项目实质性进展，完成</w:t>
      </w:r>
      <w:r>
        <w:rPr>
          <w:rFonts w:ascii="仿宋_GB2312" w:eastAsia="仿宋_GB2312" w:cs="仿宋_GB2312"/>
          <w:color w:val="000000"/>
          <w:sz w:val="32"/>
          <w:szCs w:val="32"/>
        </w:rPr>
        <w:t>10</w:t>
      </w:r>
      <w:r>
        <w:rPr>
          <w:rFonts w:hint="eastAsia" w:ascii="仿宋_GB2312" w:eastAsia="仿宋_GB2312" w:cs="仿宋_GB2312"/>
          <w:color w:val="000000"/>
          <w:sz w:val="32"/>
          <w:szCs w:val="32"/>
        </w:rPr>
        <w:t>家基层医疗机构远程覆盖。</w:t>
      </w:r>
    </w:p>
    <w:p>
      <w:pPr>
        <w:pStyle w:val="22"/>
        <w:spacing w:line="360" w:lineRule="auto"/>
        <w:ind w:firstLine="643" w:firstLineChars="200"/>
        <w:rPr>
          <w:rFonts w:ascii="楷体" w:hAnsi="楷体" w:eastAsia="楷体" w:cs="Times New Roman"/>
          <w:b/>
          <w:bCs/>
          <w:sz w:val="32"/>
          <w:szCs w:val="32"/>
        </w:rPr>
      </w:pPr>
      <w:r>
        <w:rPr>
          <w:rFonts w:hint="eastAsia" w:ascii="楷体" w:hAnsi="楷体" w:eastAsia="楷体" w:cs="楷体"/>
          <w:b/>
          <w:bCs/>
          <w:sz w:val="32"/>
          <w:szCs w:val="32"/>
        </w:rPr>
        <w:t>（四）持续推进人才强院，全力建设高素质专业化教师队伍</w:t>
      </w:r>
    </w:p>
    <w:p>
      <w:pPr>
        <w:pStyle w:val="22"/>
        <w:spacing w:line="360" w:lineRule="auto"/>
        <w:ind w:firstLine="643" w:firstLineChars="200"/>
        <w:rPr>
          <w:rFonts w:ascii="仿宋_GB2312" w:eastAsia="仿宋_GB2312" w:cs="Times New Roman"/>
          <w:sz w:val="32"/>
          <w:szCs w:val="32"/>
        </w:rPr>
      </w:pPr>
      <w:r>
        <w:rPr>
          <w:rFonts w:ascii="仿宋_GB2312" w:eastAsia="仿宋_GB2312" w:cs="仿宋_GB2312"/>
          <w:b/>
          <w:bCs/>
          <w:sz w:val="32"/>
          <w:szCs w:val="32"/>
        </w:rPr>
        <w:t>16.</w:t>
      </w:r>
      <w:r>
        <w:rPr>
          <w:rFonts w:hint="eastAsia" w:ascii="仿宋_GB2312" w:eastAsia="仿宋_GB2312" w:cs="仿宋_GB2312"/>
          <w:b/>
          <w:bCs/>
          <w:sz w:val="32"/>
          <w:szCs w:val="32"/>
        </w:rPr>
        <w:t>完善师德建设长效机制。</w:t>
      </w:r>
      <w:r>
        <w:rPr>
          <w:rFonts w:hint="eastAsia" w:ascii="仿宋_GB2312" w:eastAsia="仿宋_GB2312" w:cs="仿宋_GB2312"/>
          <w:sz w:val="32"/>
          <w:szCs w:val="32"/>
        </w:rPr>
        <w:t>全面落实新时代教师职业行为十项准则，坚持以师德师风建设为引领，积极探索师德教育的新途径、新内容、新模式，全力培养“四有”好老师。强化师德师风建设主体责任，完善师德师风档案，把师德师风考评贯穿教书育人全过程，使“师德师风一票否决制”更具实际操作性，更好发挥导向作用。</w:t>
      </w:r>
    </w:p>
    <w:p>
      <w:pPr>
        <w:pStyle w:val="22"/>
        <w:spacing w:line="360" w:lineRule="auto"/>
        <w:ind w:firstLine="643"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17.</w:t>
      </w:r>
      <w:r>
        <w:rPr>
          <w:rFonts w:hint="eastAsia" w:ascii="仿宋_GB2312" w:hAnsi="仿宋_GB2312" w:eastAsia="仿宋_GB2312" w:cs="仿宋_GB2312"/>
          <w:b/>
          <w:bCs/>
          <w:sz w:val="32"/>
          <w:szCs w:val="32"/>
        </w:rPr>
        <w:t>做好高层次人才引进和培养工作。</w:t>
      </w:r>
      <w:r>
        <w:rPr>
          <w:rFonts w:hint="eastAsia" w:ascii="仿宋_GB2312" w:hAnsi="仿宋_GB2312" w:eastAsia="仿宋_GB2312" w:cs="仿宋_GB2312"/>
          <w:sz w:val="32"/>
          <w:szCs w:val="32"/>
        </w:rPr>
        <w:t>落实全国全省人才工作会议精神，制定《人才工作管理办法》，召开学院人才工作会议，</w:t>
      </w:r>
      <w:r>
        <w:rPr>
          <w:rFonts w:hint="eastAsia" w:ascii="仿宋_GB2312" w:eastAsia="仿宋_GB2312" w:cs="仿宋_GB2312"/>
          <w:sz w:val="32"/>
          <w:szCs w:val="32"/>
        </w:rPr>
        <w:t>落实领导干部联系服务专家制度</w:t>
      </w:r>
      <w:r>
        <w:rPr>
          <w:rFonts w:hint="eastAsia" w:ascii="仿宋_GB2312" w:hAnsi="仿宋_GB2312" w:eastAsia="仿宋_GB2312" w:cs="仿宋_GB2312"/>
          <w:sz w:val="32"/>
          <w:szCs w:val="32"/>
        </w:rPr>
        <w:t>，进一步营造识才爱才敬才用才的良好环境。以服务事业发展为目标，全面实施特聘人才柔性引进、学科领军及青年拔尖人才引进培养、高层次人才培育、师资队伍学历提升等人才计划。通过柔性引才等模式聘任国内外知名专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人，引进博士</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人以上，保障重点专业和优势学科发展建设。</w:t>
      </w:r>
      <w:r>
        <w:rPr>
          <w:rStyle w:val="25"/>
          <w:rFonts w:hint="eastAsia" w:ascii="仿宋_GB2312" w:hAnsi="Arial" w:eastAsia="仿宋_GB2312" w:cs="仿宋_GB2312"/>
          <w:sz w:val="32"/>
          <w:szCs w:val="32"/>
        </w:rPr>
        <w:t>加强教研室、研究室、实验室管理队伍建设，选拔一批思想道德好、专业能力强、综合素质高的优秀人才担任主任。</w:t>
      </w:r>
      <w:r>
        <w:rPr>
          <w:rFonts w:hint="eastAsia" w:ascii="仿宋_GB2312" w:hAnsi="仿宋_GB2312" w:eastAsia="仿宋_GB2312" w:cs="仿宋_GB2312"/>
          <w:sz w:val="32"/>
          <w:szCs w:val="32"/>
        </w:rPr>
        <w:t>积极申报政府特殊津贴专家等人才项目，力争实现“龙江学者”零的突破。</w:t>
      </w:r>
    </w:p>
    <w:p>
      <w:pPr>
        <w:pStyle w:val="22"/>
        <w:spacing w:line="360" w:lineRule="auto"/>
        <w:ind w:firstLine="643"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18.</w:t>
      </w:r>
      <w:r>
        <w:rPr>
          <w:rFonts w:hint="eastAsia" w:ascii="仿宋_GB2312" w:hAnsi="仿宋_GB2312" w:eastAsia="仿宋_GB2312" w:cs="仿宋_GB2312"/>
          <w:b/>
          <w:bCs/>
          <w:sz w:val="32"/>
          <w:szCs w:val="32"/>
        </w:rPr>
        <w:t>提升教师培训实效。</w:t>
      </w:r>
      <w:r>
        <w:rPr>
          <w:rFonts w:hint="eastAsia" w:ascii="仿宋_GB2312" w:hAnsi="仿宋_GB2312" w:eastAsia="仿宋_GB2312" w:cs="仿宋_GB2312"/>
          <w:sz w:val="32"/>
          <w:szCs w:val="32"/>
        </w:rPr>
        <w:t>制定“双师双能型”教师培养计划，健全“双师双能型”教师培养、认定、聘用等评价体系，积极协调具有职业资格的基础教师到附属医院相关科室定点注册，在教职工绩效考核、职务（职称）评聘等方面向“双师双能型”教师倾斜。选派教师开展国内外访学研修，并做好外语专项培训工作。依托高校教师网络培训中心，组织教师参加培训，开展教学服务专项培训，鼓励教师参加各类教学竞赛，力争在获奖数量和层次上实现新突破。同时，全面开展机关能力作风建设年活动，着力提升管理干部综合素质和实践能力。</w:t>
      </w:r>
    </w:p>
    <w:p>
      <w:pPr>
        <w:pStyle w:val="22"/>
        <w:spacing w:line="360" w:lineRule="auto"/>
        <w:ind w:firstLine="643"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19.</w:t>
      </w:r>
      <w:r>
        <w:rPr>
          <w:rFonts w:hint="eastAsia" w:ascii="仿宋_GB2312" w:hAnsi="仿宋_GB2312" w:eastAsia="仿宋_GB2312" w:cs="仿宋_GB2312"/>
          <w:b/>
          <w:bCs/>
          <w:sz w:val="32"/>
          <w:szCs w:val="32"/>
        </w:rPr>
        <w:t>推进人才评价改革。</w:t>
      </w:r>
      <w:r>
        <w:rPr>
          <w:rFonts w:hint="eastAsia" w:ascii="仿宋_GB2312" w:hAnsi="仿宋_GB2312" w:eastAsia="仿宋_GB2312" w:cs="仿宋_GB2312"/>
          <w:sz w:val="32"/>
          <w:szCs w:val="32"/>
        </w:rPr>
        <w:t>全面落实《深化新时代教育评价改革总体方案》《黑龙江省深化新时代教育评价改革实施方案》要求，破除“五唯”顽瘴痼疾，做好人才评价机制建设、薪酬分配等工作。修订《学院教职工绩效考核办法》，进一步完善教职工绩效考核体系。推进评聘改革，制定《专业技术职务评审标准》，保障专业技术职务资格评审工作公开、公平、公正，确保专业技术职务评聘与事业单位岗位设置管理有效衔接。</w:t>
      </w:r>
    </w:p>
    <w:p>
      <w:pPr>
        <w:pStyle w:val="22"/>
        <w:spacing w:line="360" w:lineRule="auto"/>
        <w:ind w:firstLine="643" w:firstLineChars="200"/>
        <w:rPr>
          <w:rFonts w:ascii="楷体" w:hAnsi="楷体" w:eastAsia="楷体" w:cs="Times New Roman"/>
          <w:b/>
          <w:bCs/>
          <w:sz w:val="32"/>
          <w:szCs w:val="32"/>
        </w:rPr>
      </w:pPr>
      <w:r>
        <w:rPr>
          <w:rFonts w:hint="eastAsia" w:ascii="楷体" w:hAnsi="楷体" w:eastAsia="楷体" w:cs="楷体"/>
          <w:b/>
          <w:bCs/>
          <w:sz w:val="32"/>
          <w:szCs w:val="32"/>
        </w:rPr>
        <w:t>（五）持续推进立德树人，全力做好学生管理与服务</w:t>
      </w:r>
    </w:p>
    <w:p>
      <w:pPr>
        <w:pStyle w:val="22"/>
        <w:spacing w:line="360" w:lineRule="auto"/>
        <w:ind w:firstLine="643" w:firstLineChars="200"/>
        <w:rPr>
          <w:rFonts w:ascii="仿宋_GB2312" w:eastAsia="仿宋_GB2312" w:cs="Times New Roman"/>
          <w:sz w:val="32"/>
          <w:szCs w:val="32"/>
        </w:rPr>
      </w:pPr>
      <w:r>
        <w:rPr>
          <w:rFonts w:ascii="仿宋_GB2312" w:eastAsia="仿宋_GB2312" w:cs="仿宋_GB2312"/>
          <w:b/>
          <w:bCs/>
          <w:sz w:val="32"/>
          <w:szCs w:val="32"/>
        </w:rPr>
        <w:t>20.</w:t>
      </w:r>
      <w:r>
        <w:rPr>
          <w:rFonts w:hint="eastAsia" w:ascii="仿宋_GB2312" w:eastAsia="仿宋_GB2312" w:cs="仿宋_GB2312"/>
          <w:b/>
          <w:bCs/>
          <w:sz w:val="32"/>
          <w:szCs w:val="32"/>
        </w:rPr>
        <w:t>加强和改进大学生思想政治教育</w:t>
      </w:r>
      <w:r>
        <w:rPr>
          <w:rFonts w:hint="eastAsia" w:ascii="仿宋_GB2312" w:hAnsi="黑体" w:eastAsia="仿宋_GB2312" w:cs="仿宋_GB2312"/>
          <w:b/>
          <w:bCs/>
          <w:sz w:val="32"/>
          <w:szCs w:val="32"/>
        </w:rPr>
        <w:t>。</w:t>
      </w:r>
      <w:r>
        <w:rPr>
          <w:rFonts w:hint="eastAsia" w:ascii="仿宋_GB2312" w:eastAsia="仿宋_GB2312" w:cs="仿宋_GB2312"/>
          <w:sz w:val="32"/>
          <w:szCs w:val="32"/>
        </w:rPr>
        <w:t>严格落实《学院党委意识形态责任制实施细则》，牢牢掌握意识形态工作领导权、管理权和话语权，强化意识形态极端重要的政治责任感和使命感。加强思想政治理论课教师队伍建设，全面做好习近平新时代中国特色社会主义思想“三进”工作，推动思想政治理论课改革创新，增强课程思想性、理论性和亲和力。</w:t>
      </w:r>
      <w:r>
        <w:rPr>
          <w:rFonts w:hint="eastAsia" w:ascii="仿宋_GB2312" w:hAnsi="仿宋_GB2312" w:eastAsia="仿宋_GB2312" w:cs="仿宋_GB2312"/>
          <w:sz w:val="32"/>
          <w:szCs w:val="32"/>
        </w:rPr>
        <w:t>组织开展</w:t>
      </w:r>
      <w:r>
        <w:rPr>
          <w:rStyle w:val="24"/>
          <w:rFonts w:hint="eastAsia" w:ascii="仿宋_GB2312" w:hAnsi="方正仿宋_GB2312" w:eastAsia="仿宋_GB2312" w:cs="仿宋_GB2312"/>
          <w:sz w:val="32"/>
          <w:szCs w:val="32"/>
        </w:rPr>
        <w:t>纪念建团</w:t>
      </w:r>
      <w:r>
        <w:rPr>
          <w:rStyle w:val="24"/>
          <w:rFonts w:ascii="仿宋_GB2312" w:hAnsi="方正仿宋_GB2312" w:eastAsia="仿宋_GB2312" w:cs="仿宋_GB2312"/>
          <w:sz w:val="32"/>
          <w:szCs w:val="32"/>
        </w:rPr>
        <w:t>100</w:t>
      </w:r>
      <w:r>
        <w:rPr>
          <w:rStyle w:val="24"/>
          <w:rFonts w:hint="eastAsia" w:ascii="仿宋_GB2312" w:hAnsi="方正仿宋_GB2312" w:eastAsia="仿宋_GB2312" w:cs="仿宋_GB2312"/>
          <w:sz w:val="32"/>
          <w:szCs w:val="32"/>
        </w:rPr>
        <w:t>周年系列活动，做好大学生社会实践活动、志愿服务活动，</w:t>
      </w:r>
      <w:r>
        <w:rPr>
          <w:rFonts w:hint="eastAsia" w:ascii="仿宋_GB2312" w:hAnsi="仿宋_GB2312" w:eastAsia="仿宋_GB2312" w:cs="仿宋_GB2312"/>
          <w:sz w:val="32"/>
          <w:szCs w:val="32"/>
        </w:rPr>
        <w:t>发挥第二课堂教育作用。完善易班等信息化平台功能，进一步提升应用新媒体开展思政工作的能力。</w:t>
      </w:r>
      <w:r>
        <w:rPr>
          <w:rFonts w:hint="eastAsia" w:ascii="仿宋_GB2312" w:hAnsi="黑体" w:eastAsia="仿宋_GB2312" w:cs="仿宋_GB2312"/>
          <w:sz w:val="32"/>
          <w:szCs w:val="32"/>
        </w:rPr>
        <w:t>建立协同育人机制，</w:t>
      </w:r>
      <w:r>
        <w:rPr>
          <w:rFonts w:hint="eastAsia" w:ascii="仿宋_GB2312" w:eastAsia="仿宋_GB2312" w:cs="仿宋_GB2312"/>
          <w:sz w:val="32"/>
          <w:szCs w:val="32"/>
        </w:rPr>
        <w:t>全面落实“十大教育工程”，</w:t>
      </w:r>
      <w:r>
        <w:rPr>
          <w:rFonts w:hint="eastAsia" w:ascii="仿宋_GB2312" w:hAnsi="黑体" w:eastAsia="仿宋_GB2312" w:cs="仿宋_GB2312"/>
          <w:sz w:val="32"/>
          <w:szCs w:val="32"/>
        </w:rPr>
        <w:t>努力</w:t>
      </w:r>
      <w:r>
        <w:rPr>
          <w:rFonts w:hint="eastAsia" w:ascii="仿宋_GB2312" w:eastAsia="仿宋_GB2312" w:cs="仿宋_GB2312"/>
          <w:sz w:val="32"/>
          <w:szCs w:val="32"/>
        </w:rPr>
        <w:t>构建“全员育人有规范、全过程育人连网络、全方位育人成体系”的大思政格局。</w:t>
      </w:r>
    </w:p>
    <w:p>
      <w:pPr>
        <w:pStyle w:val="22"/>
        <w:spacing w:line="360" w:lineRule="auto"/>
        <w:ind w:firstLine="643" w:firstLineChars="200"/>
        <w:rPr>
          <w:rFonts w:ascii="仿宋_GB2312" w:hAnsi="仿宋_GB2312" w:eastAsia="仿宋_GB2312" w:cs="Times New Roman"/>
          <w:sz w:val="32"/>
          <w:szCs w:val="32"/>
        </w:rPr>
      </w:pPr>
      <w:r>
        <w:rPr>
          <w:rFonts w:ascii="仿宋_GB2312" w:hAnsi="楷体" w:eastAsia="仿宋_GB2312" w:cs="仿宋_GB2312"/>
          <w:b/>
          <w:bCs/>
          <w:sz w:val="32"/>
          <w:szCs w:val="32"/>
        </w:rPr>
        <w:t>21.</w:t>
      </w:r>
      <w:r>
        <w:rPr>
          <w:rFonts w:hint="eastAsia" w:ascii="仿宋_GB2312" w:hAnsi="仿宋_GB2312" w:eastAsia="仿宋_GB2312" w:cs="仿宋_GB2312"/>
          <w:b/>
          <w:bCs/>
          <w:sz w:val="32"/>
          <w:szCs w:val="32"/>
        </w:rPr>
        <w:t>做好学生管理与服务工作。</w:t>
      </w:r>
      <w:r>
        <w:rPr>
          <w:rFonts w:hint="eastAsia" w:ascii="仿宋_GB2312" w:hAnsi="仿宋_GB2312" w:eastAsia="仿宋_GB2312" w:cs="仿宋_GB2312"/>
          <w:sz w:val="32"/>
          <w:szCs w:val="32"/>
        </w:rPr>
        <w:t>深入推进学风建设，开展学风建设专项督导活动，抓实学生学业预警与援助工作。加强考风考纪教育，继续创建零违纪二级学院、零违纪班级、零违纪寝室，持续开展学院领导与学生代表共进早餐会、学生民主参与学院事务管理现场办公会，保障学生参与学院民主管理权利。建立少数民族学生教育、管理和服务联动以及学习帮扶工作机制，助力少数民族学生成长成才，完善学生奖助学金评审监管机制和评审办法。加强公寓文化建设，探索公寓管理新模式，推动专业课教师、党员干部进公寓实施教育引领工作。推进黑龙江省心理健康教育示范校申报工作，做好学生心理健康教育、心理健康普查，强化大学生心理危机预防与干预体系。加强国防教育，做好征兵宣传工作及新生军训工作。</w:t>
      </w:r>
    </w:p>
    <w:p>
      <w:pPr>
        <w:pStyle w:val="22"/>
        <w:spacing w:line="360" w:lineRule="auto"/>
        <w:ind w:firstLine="643" w:firstLineChars="200"/>
        <w:rPr>
          <w:rFonts w:ascii="仿宋_GB2312" w:hAnsi="仿宋_GB2312" w:eastAsia="仿宋_GB2312" w:cs="Times New Roman"/>
          <w:sz w:val="32"/>
          <w:szCs w:val="32"/>
        </w:rPr>
      </w:pPr>
      <w:r>
        <w:rPr>
          <w:rFonts w:ascii="仿宋_GB2312" w:hAnsi="楷体" w:eastAsia="仿宋_GB2312" w:cs="仿宋_GB2312"/>
          <w:b/>
          <w:bCs/>
          <w:sz w:val="32"/>
          <w:szCs w:val="32"/>
        </w:rPr>
        <w:t>22.</w:t>
      </w:r>
      <w:r>
        <w:rPr>
          <w:rFonts w:hint="eastAsia" w:ascii="仿宋_GB2312" w:hAnsi="楷体" w:eastAsia="仿宋_GB2312" w:cs="仿宋_GB2312"/>
          <w:b/>
          <w:bCs/>
          <w:sz w:val="32"/>
          <w:szCs w:val="32"/>
        </w:rPr>
        <w:t>加强辅导员队伍建设。</w:t>
      </w:r>
      <w:r>
        <w:rPr>
          <w:rFonts w:hint="eastAsia" w:ascii="仿宋_GB2312" w:hAnsi="仿宋_GB2312" w:eastAsia="仿宋_GB2312" w:cs="仿宋_GB2312"/>
          <w:sz w:val="32"/>
          <w:szCs w:val="32"/>
        </w:rPr>
        <w:t>通过举办辅导员素质能力大赛、辅导员理论宣讲，促进辅导员队伍专业素质和能力全面提升。建立辅导员工作室，组织开展心理健康教育、就业创业指导等专题研究。制定辅导员和班主任培训计划，实现岗前培训、学习交流和专题培训相结合。落实政治强、业务精、纪律严、作风正的标准，加强辅导员（班主任）选聘和考核。</w:t>
      </w:r>
    </w:p>
    <w:p>
      <w:pPr>
        <w:pStyle w:val="22"/>
        <w:spacing w:line="360" w:lineRule="auto"/>
        <w:ind w:firstLine="643" w:firstLineChars="200"/>
        <w:rPr>
          <w:rFonts w:ascii="仿宋_GB2312" w:hAnsi="仿宋_GB2312" w:eastAsia="仿宋_GB2312" w:cs="Times New Roman"/>
          <w:sz w:val="32"/>
          <w:szCs w:val="32"/>
        </w:rPr>
      </w:pPr>
      <w:r>
        <w:rPr>
          <w:rFonts w:ascii="仿宋_GB2312" w:hAnsi="楷体" w:eastAsia="仿宋_GB2312" w:cs="仿宋_GB2312"/>
          <w:b/>
          <w:bCs/>
          <w:sz w:val="32"/>
          <w:szCs w:val="32"/>
        </w:rPr>
        <w:t>23.</w:t>
      </w:r>
      <w:r>
        <w:rPr>
          <w:rFonts w:hint="eastAsia" w:ascii="仿宋_GB2312" w:hAnsi="楷体" w:eastAsia="仿宋_GB2312" w:cs="仿宋_GB2312"/>
          <w:b/>
          <w:bCs/>
          <w:sz w:val="32"/>
          <w:szCs w:val="32"/>
        </w:rPr>
        <w:t>扎实做好招生就业及创新创业工作。</w:t>
      </w:r>
      <w:r>
        <w:rPr>
          <w:rFonts w:hint="eastAsia" w:ascii="仿宋_GB2312" w:hAnsi="仿宋_GB2312" w:eastAsia="仿宋_GB2312" w:cs="仿宋_GB2312"/>
          <w:sz w:val="32"/>
          <w:szCs w:val="32"/>
        </w:rPr>
        <w:t>积极稳妥做好招生工作，调整分省分专业招生计划，增加省内一批招生计划，提升生源质量。持续拓展就业市场，增加有效就业岗位。加强辅导员就业指导培训，开展特色就业指导活动，完善线上就业指导服务，推进就业指导精细化、个性化。结合专业培养目标设置创新创业课程和实践环节，增设创新创业类、综合研究性讨论课程，强化学生实践能力和创新创业能力培养。完善大学生创业园及创客空间软硬件建设，做好学生参加各级各类大学生创新创业大赛的指导和培训工作，力争在获奖数量和层次上有新提高。</w:t>
      </w:r>
    </w:p>
    <w:p>
      <w:pPr>
        <w:pStyle w:val="22"/>
        <w:spacing w:line="360" w:lineRule="auto"/>
        <w:ind w:firstLine="643" w:firstLineChars="200"/>
        <w:rPr>
          <w:rFonts w:ascii="楷体" w:hAnsi="楷体" w:eastAsia="楷体" w:cs="Times New Roman"/>
          <w:b/>
          <w:bCs/>
          <w:sz w:val="32"/>
          <w:szCs w:val="32"/>
        </w:rPr>
      </w:pPr>
      <w:r>
        <w:rPr>
          <w:rFonts w:hint="eastAsia" w:ascii="楷体" w:hAnsi="楷体" w:eastAsia="楷体" w:cs="楷体"/>
          <w:b/>
          <w:bCs/>
          <w:sz w:val="32"/>
          <w:szCs w:val="32"/>
        </w:rPr>
        <w:t>（六）持续推进社会服务，全力推动地方卫生健康事业发展</w:t>
      </w:r>
    </w:p>
    <w:p>
      <w:pPr>
        <w:pStyle w:val="22"/>
        <w:spacing w:line="360" w:lineRule="auto"/>
        <w:ind w:firstLine="643" w:firstLineChars="200"/>
        <w:rPr>
          <w:rFonts w:ascii="仿宋_GB2312" w:hAnsi="仿宋" w:eastAsia="仿宋_GB2312" w:cs="Times New Roman"/>
          <w:sz w:val="32"/>
          <w:szCs w:val="32"/>
        </w:rPr>
      </w:pPr>
      <w:r>
        <w:rPr>
          <w:rFonts w:ascii="仿宋_GB2312" w:hAnsi="楷体" w:eastAsia="仿宋_GB2312" w:cs="仿宋_GB2312"/>
          <w:b/>
          <w:bCs/>
          <w:sz w:val="32"/>
          <w:szCs w:val="32"/>
        </w:rPr>
        <w:t>24.</w:t>
      </w:r>
      <w:r>
        <w:rPr>
          <w:rFonts w:hint="eastAsia" w:ascii="仿宋_GB2312" w:hAnsi="楷体" w:eastAsia="仿宋_GB2312" w:cs="仿宋_GB2312"/>
          <w:b/>
          <w:bCs/>
          <w:sz w:val="32"/>
          <w:szCs w:val="32"/>
        </w:rPr>
        <w:t>发挥科技创新智库作用。</w:t>
      </w:r>
      <w:r>
        <w:rPr>
          <w:rFonts w:hint="eastAsia" w:ascii="仿宋_GB2312" w:hAnsi="仿宋_GB2312" w:eastAsia="仿宋_GB2312" w:cs="仿宋_GB2312"/>
          <w:sz w:val="32"/>
          <w:szCs w:val="32"/>
        </w:rPr>
        <w:t>落实《齐齐哈尔市关于深化校地合作工作方案》，通过校地合作高层座谈会，建立起稳固顺畅的校地合作机制。积极推进齐齐哈尔公共卫生与健康研究院内涵建设，搭建平台网站，构建本地区环境暴露与慢性病关联的人群前瞻性队列；积极联合市疫情防控指挥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利用大数据建立新冠肺炎疫情态势模型系统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为属地提供疫情研</w:t>
      </w:r>
      <w:r>
        <w:rPr>
          <w:rFonts w:hint="eastAsia" w:ascii="仿宋_GB2312" w:hAnsi="仿宋" w:eastAsia="仿宋_GB2312" w:cs="仿宋_GB2312"/>
          <w:sz w:val="32"/>
          <w:szCs w:val="32"/>
        </w:rPr>
        <w:t>判、技术咨询和重大决策等专业支持。持续加大科普基地建设力度，充分发挥挂靠学院的学会、协会在科学普及、专业服务等方面的作用。</w:t>
      </w:r>
    </w:p>
    <w:p>
      <w:pPr>
        <w:pStyle w:val="22"/>
        <w:spacing w:line="360" w:lineRule="auto"/>
        <w:ind w:firstLine="643" w:firstLineChars="200"/>
        <w:rPr>
          <w:rFonts w:ascii="仿宋_GB2312" w:hAnsi="仿宋_GB2312" w:eastAsia="仿宋_GB2312" w:cs="Times New Roman"/>
          <w:sz w:val="32"/>
          <w:szCs w:val="32"/>
        </w:rPr>
      </w:pPr>
      <w:r>
        <w:rPr>
          <w:rFonts w:ascii="仿宋_GB2312" w:hAnsi="仿宋_GB2312" w:eastAsia="仿宋_GB2312" w:cs="仿宋_GB2312"/>
          <w:b/>
          <w:bCs/>
          <w:kern w:val="2"/>
          <w:sz w:val="32"/>
          <w:szCs w:val="32"/>
        </w:rPr>
        <w:t>25.</w:t>
      </w:r>
      <w:r>
        <w:rPr>
          <w:rFonts w:hint="eastAsia" w:ascii="仿宋_GB2312" w:hAnsi="仿宋_GB2312" w:eastAsia="仿宋_GB2312" w:cs="仿宋_GB2312"/>
          <w:b/>
          <w:bCs/>
          <w:kern w:val="2"/>
          <w:sz w:val="32"/>
          <w:szCs w:val="32"/>
        </w:rPr>
        <w:t>提升继续教育和成人教育质量。</w:t>
      </w:r>
      <w:r>
        <w:rPr>
          <w:rFonts w:hint="eastAsia" w:ascii="仿宋_GB2312" w:hAnsi="仿宋_GB2312" w:eastAsia="仿宋_GB2312" w:cs="仿宋_GB2312"/>
          <w:sz w:val="32"/>
          <w:szCs w:val="32"/>
        </w:rPr>
        <w:t>发挥省医学教育管理中心职能，在做好全省住培、全科医生转岗培训、助理全科医生培训与管理等工作的同时，发挥学院毕业后医学教育委员会作用，推进附属医院住培基地建设；与先进省份联合开展师资培训，提升带教能力；开展继续医学教育培训需求调研，提升学院继续医学教育项目举办质量，拓展培训项目领域。同时，深化与黑龙江护理高等专科学校、大庆医学高等专科学校、大兴安岭职业学院合作，稳定成人本科招生规模。加强在线学习平台建设，强化教学督导，确保成人本科教育质量。</w:t>
      </w:r>
    </w:p>
    <w:p>
      <w:pPr>
        <w:pStyle w:val="22"/>
        <w:spacing w:line="360" w:lineRule="auto"/>
        <w:ind w:firstLine="643" w:firstLineChars="200"/>
        <w:rPr>
          <w:rFonts w:ascii="楷体" w:hAnsi="楷体" w:eastAsia="楷体" w:cs="Times New Roman"/>
          <w:b/>
          <w:bCs/>
          <w:sz w:val="32"/>
          <w:szCs w:val="32"/>
        </w:rPr>
      </w:pPr>
      <w:r>
        <w:rPr>
          <w:rFonts w:hint="eastAsia" w:ascii="楷体" w:hAnsi="楷体" w:eastAsia="楷体" w:cs="楷体"/>
          <w:b/>
          <w:bCs/>
          <w:sz w:val="32"/>
          <w:szCs w:val="32"/>
        </w:rPr>
        <w:t>（七）持续推进对外交流合作，全力提升留学生教育水平</w:t>
      </w:r>
    </w:p>
    <w:p>
      <w:pPr>
        <w:pStyle w:val="22"/>
        <w:spacing w:line="360" w:lineRule="auto"/>
        <w:ind w:firstLine="643"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26.</w:t>
      </w:r>
      <w:r>
        <w:rPr>
          <w:rFonts w:hint="eastAsia" w:ascii="仿宋_GB2312" w:hAnsi="仿宋_GB2312" w:eastAsia="仿宋_GB2312" w:cs="仿宋_GB2312"/>
          <w:b/>
          <w:bCs/>
          <w:sz w:val="32"/>
          <w:szCs w:val="32"/>
        </w:rPr>
        <w:t>拓展国际交流合作。</w:t>
      </w:r>
      <w:r>
        <w:rPr>
          <w:rFonts w:hint="eastAsia" w:ascii="仿宋_GB2312" w:hAnsi="仿宋_GB2312" w:eastAsia="仿宋_GB2312" w:cs="仿宋_GB2312"/>
          <w:sz w:val="32"/>
          <w:szCs w:val="32"/>
        </w:rPr>
        <w:t>积极探索国际交流与合作新途径、新模式，寻求新的国际合作伙伴。继续与马来西亚林肯大学学院、印度库帕尼迪药学院、日本海老原医疗集团、韩国大邱韩医科大学等国外院校和机构开展合作，与尼泊尔曼默汉纪念医学院等国外机构洽谈“一带一路”医联体建设事宜。适时制定因公出访计划，继续与俄罗斯赤塔国立医学院深化各领域合作，完善联合办学相关专业人才培养方案；开展中俄人群心脑血管病遗传学研究，力争产出高水平成果。做好引智工作，积极聘请国外专家学者来院交流访问。</w:t>
      </w:r>
    </w:p>
    <w:p>
      <w:pPr>
        <w:pStyle w:val="22"/>
        <w:spacing w:line="360" w:lineRule="auto"/>
        <w:ind w:firstLine="643" w:firstLineChars="200"/>
        <w:rPr>
          <w:rFonts w:ascii="仿宋_GB2312" w:hAnsi="宋体" w:eastAsia="仿宋_GB2312" w:cs="Times New Roman"/>
          <w:sz w:val="31"/>
          <w:szCs w:val="31"/>
        </w:rPr>
      </w:pPr>
      <w:r>
        <w:rPr>
          <w:rFonts w:ascii="仿宋_GB2312" w:hAnsi="仿宋_GB2312" w:eastAsia="仿宋_GB2312" w:cs="仿宋_GB2312"/>
          <w:b/>
          <w:bCs/>
          <w:sz w:val="32"/>
          <w:szCs w:val="32"/>
        </w:rPr>
        <w:t>27.</w:t>
      </w:r>
      <w:r>
        <w:rPr>
          <w:rFonts w:hint="eastAsia" w:ascii="仿宋_GB2312" w:hAnsi="仿宋_GB2312" w:eastAsia="仿宋_GB2312" w:cs="仿宋_GB2312"/>
          <w:b/>
          <w:bCs/>
          <w:sz w:val="32"/>
          <w:szCs w:val="32"/>
        </w:rPr>
        <w:t>抓实留学生教育质量内涵建设。</w:t>
      </w:r>
      <w:r>
        <w:rPr>
          <w:rFonts w:hint="eastAsia" w:ascii="仿宋_GB2312" w:hAnsi="宋体" w:eastAsia="仿宋_GB2312" w:cs="仿宋_GB2312"/>
          <w:sz w:val="31"/>
          <w:szCs w:val="31"/>
        </w:rPr>
        <w:t>持续加强留学生授课教师队伍建设，提升临床授课教师教学能力。制定留学生授课教师发展规划，探讨将承担留学生授课任务纳入教学质量评定等各项考核中，不断提高留学生教育教学研究水平。加强网络课程及教学网站建设，鼓励教师开展线上课程教学方法和考核方式等改革创新。继续加强试题库建设，结合留学生生源国执业医师考试大纲要求，打造结构优、内容精的课程体系，适时开展生源国执业医师考试培训辅导工作，不断提升留学生执业医师考试通过率。加强留学生海外招生宣传力度，不断提高生源质量，进一步提升学院海外影响力和国际化办学水平。</w:t>
      </w:r>
    </w:p>
    <w:p>
      <w:pPr>
        <w:pStyle w:val="22"/>
        <w:spacing w:line="360" w:lineRule="auto"/>
        <w:ind w:firstLine="643" w:firstLineChars="200"/>
        <w:rPr>
          <w:rFonts w:ascii="楷体" w:hAnsi="楷体" w:eastAsia="楷体" w:cs="Times New Roman"/>
          <w:b/>
          <w:bCs/>
          <w:sz w:val="32"/>
          <w:szCs w:val="32"/>
        </w:rPr>
      </w:pPr>
      <w:r>
        <w:rPr>
          <w:rFonts w:hint="eastAsia" w:ascii="楷体" w:hAnsi="楷体" w:eastAsia="楷体" w:cs="楷体"/>
          <w:b/>
          <w:bCs/>
          <w:sz w:val="32"/>
          <w:szCs w:val="32"/>
        </w:rPr>
        <w:t>（八）持续推进依法治校，全力提升现代大学治理能力</w:t>
      </w:r>
    </w:p>
    <w:p>
      <w:pPr>
        <w:pStyle w:val="22"/>
        <w:spacing w:line="360" w:lineRule="auto"/>
        <w:ind w:firstLine="643"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28.</w:t>
      </w:r>
      <w:r>
        <w:rPr>
          <w:rFonts w:hint="eastAsia" w:ascii="仿宋_GB2312" w:hAnsi="仿宋_GB2312" w:eastAsia="仿宋_GB2312" w:cs="仿宋_GB2312"/>
          <w:b/>
          <w:bCs/>
          <w:sz w:val="32"/>
          <w:szCs w:val="32"/>
        </w:rPr>
        <w:t>慎终如始做好疫情防控。</w:t>
      </w:r>
      <w:r>
        <w:rPr>
          <w:rFonts w:hint="eastAsia" w:ascii="仿宋_GB2312" w:hAnsi="仿宋_GB2312" w:eastAsia="仿宋_GB2312" w:cs="仿宋_GB2312"/>
          <w:sz w:val="32"/>
          <w:szCs w:val="32"/>
        </w:rPr>
        <w:t>全面贯彻落实省委省政府、省委教育工委、省教育厅和属地疫情防控重要部署，坚决杜绝麻痹思想、侥幸心理和厌战情绪。持续完善疫情防控组织机构和制度体系，严细精实做好疫情防控知识宣传、师生员工信息排查报送、校园封闭管理、防疫物资储备、师生员工服务保障、核酸检测及疫苗接种、校内环境消杀、应急处置“六步工作法”实战演练等各项防控工作。以最高标准、最严要求、最细举措保障师生员工和医护人员健康安全，持续巩固疫情防控工作重要成果。</w:t>
      </w:r>
    </w:p>
    <w:p>
      <w:pPr>
        <w:pStyle w:val="22"/>
        <w:spacing w:line="360" w:lineRule="auto"/>
        <w:ind w:firstLine="643" w:firstLineChars="200"/>
        <w:rPr>
          <w:rFonts w:ascii="仿宋_GB2312" w:hAnsi="仿宋_GB2312" w:eastAsia="仿宋_GB2312" w:cs="Times New Roman"/>
          <w:sz w:val="32"/>
          <w:szCs w:val="32"/>
        </w:rPr>
      </w:pPr>
      <w:r>
        <w:rPr>
          <w:rFonts w:ascii="仿宋_GB2312" w:eastAsia="仿宋_GB2312" w:cs="仿宋_GB2312"/>
          <w:b/>
          <w:bCs/>
          <w:sz w:val="32"/>
          <w:szCs w:val="32"/>
        </w:rPr>
        <w:t>29.</w:t>
      </w:r>
      <w:r>
        <w:rPr>
          <w:rFonts w:hint="eastAsia" w:ascii="仿宋_GB2312" w:eastAsia="仿宋_GB2312" w:cs="仿宋_GB2312"/>
          <w:b/>
          <w:bCs/>
          <w:sz w:val="32"/>
          <w:szCs w:val="32"/>
        </w:rPr>
        <w:t>全面推进依法治校。</w:t>
      </w:r>
      <w:r>
        <w:rPr>
          <w:rFonts w:hint="eastAsia" w:ascii="仿宋_GB2312" w:hAnsi="仿宋" w:eastAsia="仿宋_GB2312" w:cs="仿宋_GB2312"/>
          <w:sz w:val="32"/>
          <w:szCs w:val="32"/>
        </w:rPr>
        <w:t>深入开展以《宪法》为核心的法制宣传教育，制定学院《“八五”普法规划》。</w:t>
      </w:r>
      <w:r>
        <w:rPr>
          <w:rFonts w:hint="eastAsia" w:ascii="仿宋_GB2312" w:eastAsia="仿宋_GB2312" w:cs="仿宋_GB2312"/>
          <w:sz w:val="32"/>
          <w:szCs w:val="32"/>
        </w:rPr>
        <w:t>修订《学院章程》，切实做好学院规范性文</w:t>
      </w:r>
      <w:r>
        <w:rPr>
          <w:rFonts w:hint="eastAsia" w:ascii="仿宋_GB2312" w:hAnsi="仿宋_GB2312" w:eastAsia="仿宋_GB2312" w:cs="仿宋_GB2312"/>
          <w:sz w:val="32"/>
          <w:szCs w:val="32"/>
        </w:rPr>
        <w:t>件清理及规章制度汇编工作，不断完善现代大学制度，</w:t>
      </w:r>
      <w:r>
        <w:rPr>
          <w:rFonts w:hint="eastAsia" w:ascii="仿宋_GB2312" w:eastAsia="仿宋_GB2312" w:cs="仿宋_GB2312"/>
          <w:sz w:val="32"/>
          <w:szCs w:val="32"/>
        </w:rPr>
        <w:t>提升现代大学治理效能。</w:t>
      </w:r>
      <w:r>
        <w:rPr>
          <w:rStyle w:val="24"/>
          <w:rFonts w:hint="eastAsia" w:ascii="仿宋_GB2312" w:hAnsi="仿宋_GB2312" w:eastAsia="仿宋_GB2312" w:cs="仿宋_GB2312"/>
          <w:sz w:val="32"/>
          <w:szCs w:val="32"/>
        </w:rPr>
        <w:t>扎实推进“放管服”改革，制定学院行政权力清单，继续推进职能下移，强化二级学院办学主体地位，激发二级学院办学活力。加强廉政风险防控，</w:t>
      </w:r>
      <w:r>
        <w:rPr>
          <w:rFonts w:hint="eastAsia" w:ascii="仿宋_GB2312" w:eastAsia="仿宋_GB2312" w:cs="仿宋_GB2312"/>
          <w:sz w:val="32"/>
          <w:szCs w:val="32"/>
        </w:rPr>
        <w:t>盯紧“关键少数”、关键岗位，聚焦权力运行，坚持“一案双查”，从严查处损害师生利益的突出问题。</w:t>
      </w:r>
      <w:r>
        <w:rPr>
          <w:rFonts w:hint="eastAsia" w:ascii="仿宋_GB2312" w:hAnsi="仿宋_GB2312" w:eastAsia="仿宋_GB2312" w:cs="仿宋_GB2312"/>
          <w:sz w:val="32"/>
          <w:szCs w:val="32"/>
        </w:rPr>
        <w:t>全面开展第三轮院内巡察和政治生态建设成效考核，打造风清气正的校园政治生态。</w:t>
      </w:r>
    </w:p>
    <w:p>
      <w:pPr>
        <w:pStyle w:val="22"/>
        <w:spacing w:line="360" w:lineRule="auto"/>
        <w:ind w:firstLine="643" w:firstLineChars="200"/>
        <w:rPr>
          <w:rFonts w:ascii="仿宋_GB2312" w:hAnsi="仿宋_GB2312" w:eastAsia="仿宋_GB2312" w:cs="Times New Roman"/>
          <w:sz w:val="32"/>
          <w:szCs w:val="32"/>
        </w:rPr>
      </w:pPr>
      <w:r>
        <w:rPr>
          <w:rFonts w:ascii="仿宋_GB2312" w:hAnsi="Times New Roman" w:eastAsia="仿宋_GB2312" w:cs="仿宋_GB2312"/>
          <w:b/>
          <w:bCs/>
          <w:sz w:val="32"/>
          <w:szCs w:val="32"/>
        </w:rPr>
        <w:t>30.</w:t>
      </w:r>
      <w:r>
        <w:rPr>
          <w:rFonts w:hint="eastAsia" w:ascii="仿宋_GB2312" w:hAnsi="Times New Roman" w:eastAsia="仿宋_GB2312" w:cs="仿宋_GB2312"/>
          <w:b/>
          <w:bCs/>
          <w:sz w:val="32"/>
          <w:szCs w:val="32"/>
        </w:rPr>
        <w:t>深化文明和谐校园建设。</w:t>
      </w:r>
      <w:r>
        <w:rPr>
          <w:rFonts w:hint="eastAsia" w:ascii="仿宋_GB2312" w:hAnsi="仿宋_GB2312" w:eastAsia="仿宋_GB2312" w:cs="仿宋_GB2312"/>
          <w:sz w:val="32"/>
          <w:szCs w:val="32"/>
        </w:rPr>
        <w:t>持续巩固全国文明单位创建成果，立体化创建全国文明校园，积极开展“五彩校园”建设。推进大医文化建设，持续开展“英模宣讲”“书香校园”“推普周”“每周一播”等文化活动。同时，提高教职员工福利待遇，校内岗位津贴人均增资不低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，进一步激发教职员工干事创业的工作热情。</w:t>
      </w:r>
    </w:p>
    <w:p>
      <w:pPr>
        <w:pStyle w:val="22"/>
        <w:spacing w:line="360" w:lineRule="auto"/>
        <w:ind w:firstLine="643"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31.</w:t>
      </w:r>
      <w:r>
        <w:rPr>
          <w:rFonts w:hint="eastAsia" w:ascii="仿宋_GB2312" w:hAnsi="仿宋_GB2312" w:eastAsia="仿宋_GB2312" w:cs="仿宋_GB2312"/>
          <w:b/>
          <w:bCs/>
          <w:sz w:val="32"/>
          <w:szCs w:val="32"/>
        </w:rPr>
        <w:t>做好财务审计和资产管理工作。</w:t>
      </w:r>
      <w:r>
        <w:rPr>
          <w:rFonts w:hint="eastAsia" w:ascii="仿宋_GB2312" w:hAnsi="仿宋_GB2312" w:eastAsia="仿宋_GB2312" w:cs="仿宋_GB2312"/>
          <w:sz w:val="32"/>
          <w:szCs w:val="32"/>
        </w:rPr>
        <w:t>全面加强预算绩效管理，服务保障事业发展。启用智能报账平台，提高财务智能化服务水平。做好财务收支审计、基本建设和工程维修审计、合同审签、经济责任审计等工作，规范核算行为，提高资金使用效益。优化工作流程，扎实推进资产管理和招标采购工作。深化校企体制改革，完善资产公司及所属企业组织管理架构，理顺学院、公司、企业产权关系。</w:t>
      </w:r>
    </w:p>
    <w:p>
      <w:pPr>
        <w:pStyle w:val="22"/>
        <w:spacing w:line="360" w:lineRule="auto"/>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32.</w:t>
      </w:r>
      <w:r>
        <w:rPr>
          <w:rFonts w:hint="eastAsia" w:ascii="仿宋_GB2312" w:hAnsi="仿宋_GB2312" w:eastAsia="仿宋_GB2312" w:cs="仿宋_GB2312"/>
          <w:b/>
          <w:bCs/>
          <w:sz w:val="32"/>
          <w:szCs w:val="32"/>
        </w:rPr>
        <w:t>做好文献服务与期刊建设工作。</w:t>
      </w:r>
      <w:r>
        <w:rPr>
          <w:rFonts w:hint="eastAsia" w:ascii="仿宋_GB2312" w:hAnsi="仿宋_GB2312" w:eastAsia="仿宋_GB2312" w:cs="仿宋_GB2312"/>
          <w:sz w:val="32"/>
          <w:szCs w:val="32"/>
        </w:rPr>
        <w:t>围绕学科、专业建设，积极做好文献资源服务。完成</w:t>
      </w:r>
      <w:r>
        <w:rPr>
          <w:rFonts w:ascii="仿宋_GB2312" w:hAnsi="仿宋_GB2312" w:eastAsia="仿宋_GB2312" w:cs="仿宋_GB2312"/>
          <w:sz w:val="32"/>
          <w:szCs w:val="32"/>
        </w:rPr>
        <w:t>RFID</w:t>
      </w:r>
      <w:r>
        <w:rPr>
          <w:rFonts w:hint="eastAsia" w:ascii="仿宋_GB2312" w:hAnsi="仿宋_GB2312" w:eastAsia="仿宋_GB2312" w:cs="仿宋_GB2312"/>
          <w:sz w:val="32"/>
          <w:szCs w:val="32"/>
        </w:rPr>
        <w:t>智慧图书馆建设项目，拓展空间服务功能。扩大以博士、博导、硕导为主的核心研究型作者队伍，持续提升《神经疾病与精神卫生》《中华现代护理杂志》《齐齐哈尔医学院学报》办刊质量。</w:t>
      </w:r>
      <w:r>
        <w:rPr>
          <w:rFonts w:ascii="仿宋_GB2312" w:hAnsi="仿宋_GB2312" w:eastAsia="仿宋_GB2312" w:cs="仿宋_GB2312"/>
          <w:sz w:val="32"/>
          <w:szCs w:val="32"/>
        </w:rPr>
        <w:t xml:space="preserve"> </w:t>
      </w:r>
    </w:p>
    <w:p>
      <w:pPr>
        <w:pStyle w:val="22"/>
        <w:spacing w:line="360" w:lineRule="auto"/>
        <w:ind w:firstLine="643"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33.</w:t>
      </w:r>
      <w:r>
        <w:rPr>
          <w:rFonts w:hint="eastAsia" w:ascii="仿宋_GB2312" w:hAnsi="仿宋_GB2312" w:eastAsia="仿宋_GB2312" w:cs="仿宋_GB2312"/>
          <w:b/>
          <w:bCs/>
          <w:sz w:val="32"/>
          <w:szCs w:val="32"/>
        </w:rPr>
        <w:t>推进智慧校园建设。</w:t>
      </w:r>
      <w:r>
        <w:rPr>
          <w:rFonts w:hint="eastAsia" w:ascii="仿宋_GB2312" w:hAnsi="仿宋_GB2312" w:eastAsia="仿宋_GB2312" w:cs="仿宋_GB2312"/>
          <w:sz w:val="32"/>
          <w:szCs w:val="32"/>
        </w:rPr>
        <w:t>加快推进基础电信企业</w:t>
      </w:r>
      <w:r>
        <w:rPr>
          <w:rFonts w:ascii="仿宋_GB2312" w:hAnsi="仿宋_GB2312" w:eastAsia="仿宋_GB2312" w:cs="仿宋_GB2312"/>
          <w:sz w:val="32"/>
          <w:szCs w:val="32"/>
        </w:rPr>
        <w:t>IPv6</w:t>
      </w:r>
      <w:r>
        <w:rPr>
          <w:rFonts w:hint="eastAsia" w:ascii="仿宋_GB2312" w:hAnsi="仿宋_GB2312" w:eastAsia="仿宋_GB2312" w:cs="仿宋_GB2312"/>
          <w:sz w:val="32"/>
          <w:szCs w:val="32"/>
        </w:rPr>
        <w:t>基础网络设施规模部署和应用系统升级，将有线网、无线网、物联网、业务专网等进行有机融合，扩大</w:t>
      </w:r>
      <w:r>
        <w:rPr>
          <w:rFonts w:ascii="仿宋_GB2312" w:hAnsi="仿宋_GB2312" w:eastAsia="仿宋_GB2312" w:cs="仿宋_GB2312"/>
          <w:sz w:val="32"/>
          <w:szCs w:val="32"/>
        </w:rPr>
        <w:t>5G</w:t>
      </w:r>
      <w:r>
        <w:rPr>
          <w:rFonts w:hint="eastAsia" w:ascii="仿宋_GB2312" w:hAnsi="仿宋_GB2312" w:eastAsia="仿宋_GB2312" w:cs="仿宋_GB2312"/>
          <w:sz w:val="32"/>
          <w:szCs w:val="32"/>
        </w:rPr>
        <w:t>信号覆盖范围，推动</w:t>
      </w:r>
      <w:r>
        <w:rPr>
          <w:rFonts w:ascii="仿宋_GB2312" w:hAnsi="仿宋_GB2312" w:eastAsia="仿宋_GB2312" w:cs="仿宋_GB2312"/>
          <w:sz w:val="32"/>
          <w:szCs w:val="32"/>
        </w:rPr>
        <w:t>5G</w:t>
      </w:r>
      <w:r>
        <w:rPr>
          <w:rFonts w:hint="eastAsia" w:ascii="仿宋_GB2312" w:hAnsi="仿宋_GB2312" w:eastAsia="仿宋_GB2312" w:cs="仿宋_GB2312"/>
          <w:sz w:val="32"/>
          <w:szCs w:val="32"/>
        </w:rPr>
        <w:t>技术应用，以教育数字化、信息化引领教育现代化。加强校园网络改造升级，提升数据安全防护能力及容灾备份能力，保障校园网络安全运行。</w:t>
      </w:r>
    </w:p>
    <w:p>
      <w:pPr>
        <w:pStyle w:val="22"/>
        <w:spacing w:line="360" w:lineRule="auto"/>
        <w:ind w:firstLine="643"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34.</w:t>
      </w:r>
      <w:r>
        <w:rPr>
          <w:rFonts w:hint="eastAsia" w:ascii="仿宋_GB2312" w:hAnsi="仿宋_GB2312" w:eastAsia="仿宋_GB2312" w:cs="仿宋_GB2312"/>
          <w:b/>
          <w:bCs/>
          <w:sz w:val="32"/>
          <w:szCs w:val="32"/>
        </w:rPr>
        <w:t>全面提高后勤服务保障能力。</w:t>
      </w:r>
      <w:r>
        <w:rPr>
          <w:rFonts w:hint="eastAsia" w:ascii="仿宋_GB2312" w:hAnsi="仿宋_GB2312" w:eastAsia="仿宋_GB2312" w:cs="仿宋_GB2312"/>
          <w:sz w:val="32"/>
          <w:szCs w:val="32"/>
        </w:rPr>
        <w:t>推进校园土地征收，尽快推进研究生公寓项目破土动工，科学合理安排施工进度，为做大研究生教育提供坚强保障。加快大学生实验实训中心、校园电网及变电所用电改造项目建设。践行绿色发展理念，切实加强节水型高校和“绿色高校”建设。加强食品安全管理，提升餐饮服务质量。不断推进后勤服务保障体系和服务能力建设，设置职工餐厅，引进专业餐饮企业入驻秋实城，在图书馆增设咖啡厅，提高文化品味，满足师生多元餐饮需求，持续拓展后勤整改成果。</w:t>
      </w:r>
    </w:p>
    <w:p>
      <w:pPr>
        <w:pStyle w:val="22"/>
        <w:spacing w:line="360" w:lineRule="auto"/>
        <w:ind w:firstLine="643"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35.</w:t>
      </w:r>
      <w:r>
        <w:rPr>
          <w:rFonts w:hint="eastAsia" w:ascii="仿宋_GB2312" w:hAnsi="仿宋_GB2312" w:eastAsia="仿宋_GB2312" w:cs="仿宋_GB2312"/>
          <w:b/>
          <w:bCs/>
          <w:sz w:val="32"/>
          <w:szCs w:val="32"/>
        </w:rPr>
        <w:t>维护校园安全稳定。</w:t>
      </w:r>
      <w:r>
        <w:rPr>
          <w:rFonts w:hint="eastAsia" w:ascii="仿宋_GB2312" w:hAnsi="仿宋_GB2312" w:eastAsia="仿宋_GB2312" w:cs="仿宋_GB2312"/>
          <w:sz w:val="32"/>
          <w:szCs w:val="32"/>
        </w:rPr>
        <w:t>落实</w:t>
      </w:r>
      <w:r>
        <w:rPr>
          <w:rFonts w:hint="eastAsia" w:ascii="仿宋_GB2312" w:eastAsia="仿宋_GB2312" w:cs="仿宋_GB2312"/>
          <w:sz w:val="32"/>
          <w:szCs w:val="32"/>
        </w:rPr>
        <w:t>学院与市公安局维护安全稳定协作机制，</w:t>
      </w:r>
      <w:r>
        <w:rPr>
          <w:rFonts w:hint="eastAsia" w:ascii="仿宋_GB2312" w:hAnsi="仿宋_GB2312" w:eastAsia="仿宋_GB2312" w:cs="仿宋_GB2312"/>
          <w:sz w:val="32"/>
          <w:szCs w:val="32"/>
        </w:rPr>
        <w:t>巩固校园周边环境综合治理成果。加强“人防、物防、技防”体系建设，增设监控设施与监控点位，安装面部识别和外来人员身份信息登记系统。</w:t>
      </w:r>
      <w:r>
        <w:rPr>
          <w:rFonts w:hint="eastAsia" w:ascii="仿宋_GB2312" w:hAnsi="宋体" w:eastAsia="仿宋_GB2312" w:cs="仿宋_GB2312"/>
          <w:sz w:val="32"/>
          <w:szCs w:val="32"/>
        </w:rPr>
        <w:t>完成危化危废品中转站建设，加快实验室信息化、智慧化建设步伐。</w:t>
      </w:r>
      <w:r>
        <w:rPr>
          <w:rFonts w:hint="eastAsia" w:ascii="仿宋_GB2312" w:hAnsi="仿宋_GB2312" w:eastAsia="仿宋_GB2312" w:cs="仿宋_GB2312"/>
          <w:sz w:val="32"/>
          <w:szCs w:val="32"/>
        </w:rPr>
        <w:t>修订《学院安全工作责任制》，完善安全风险分级管控和隐患排查治理双重预防机制建设。</w:t>
      </w:r>
    </w:p>
    <w:p>
      <w:pPr>
        <w:pStyle w:val="22"/>
        <w:spacing w:line="360" w:lineRule="auto"/>
        <w:ind w:firstLine="643" w:firstLineChars="200"/>
        <w:rPr>
          <w:rFonts w:ascii="仿宋_GB2312" w:hAnsi="仿宋" w:eastAsia="仿宋_GB2312" w:cs="Times New Roman"/>
          <w:b/>
          <w:bCs/>
          <w:sz w:val="32"/>
          <w:szCs w:val="32"/>
        </w:rPr>
      </w:pPr>
      <w:r>
        <w:rPr>
          <w:rFonts w:hint="eastAsia" w:ascii="仿宋_GB2312" w:hAnsi="仿宋" w:eastAsia="仿宋_GB2312" w:cs="仿宋_GB2312"/>
          <w:b/>
          <w:bCs/>
          <w:sz w:val="32"/>
          <w:szCs w:val="32"/>
        </w:rPr>
        <w:t>各位代表、同志们！</w:t>
      </w:r>
    </w:p>
    <w:p>
      <w:pPr>
        <w:pStyle w:val="22"/>
        <w:spacing w:line="360" w:lineRule="auto"/>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实干托举梦想，奋斗成就未来。让我们始终坚持以习近平新时代中国特色社会主义思想为指导，认真学习贯彻习近平总书记关于教育的重要论述，在省委、省政府和省委教育工委、省教育厅的坚强领导下，大力弘扬伟大建党精神和齐医精神，聚焦建成高水平特色应用型本科示范高校，扎实推进第三次党代会和《“十四五”发展规划》工作任务有效落实，全力推进高质量内涵式发展，不断筑牢学院发展与师生员工成长的命运共同体，解放思想、守正创新，凝心聚力、砥砺奋进，以优异成绩迎接党的二十大胜利召开！</w:t>
      </w:r>
    </w:p>
    <w:p>
      <w:pPr>
        <w:pStyle w:val="22"/>
        <w:spacing w:line="360" w:lineRule="auto"/>
        <w:ind w:firstLine="640" w:firstLineChars="200"/>
        <w:rPr>
          <w:rFonts w:ascii="仿宋_GB2312" w:hAnsi="仿宋_GB2312" w:eastAsia="仿宋_GB2312" w:cs="Times New Roman"/>
          <w:sz w:val="32"/>
          <w:szCs w:val="32"/>
        </w:rPr>
      </w:pPr>
    </w:p>
    <w:p>
      <w:pPr>
        <w:pStyle w:val="22"/>
        <w:spacing w:line="360" w:lineRule="auto"/>
        <w:ind w:firstLine="640" w:firstLineChars="200"/>
        <w:rPr>
          <w:rFonts w:ascii="仿宋_GB2312" w:hAnsi="仿宋_GB2312" w:eastAsia="仿宋_GB2312" w:cs="Times New Roman"/>
          <w:sz w:val="32"/>
          <w:szCs w:val="32"/>
        </w:rPr>
      </w:pPr>
    </w:p>
    <w:p>
      <w:pPr>
        <w:pStyle w:val="22"/>
        <w:spacing w:line="360" w:lineRule="auto"/>
        <w:ind w:firstLine="640" w:firstLineChars="200"/>
        <w:rPr>
          <w:rFonts w:ascii="仿宋_GB2312" w:hAnsi="仿宋_GB2312" w:eastAsia="仿宋_GB2312" w:cs="Times New Roman"/>
          <w:sz w:val="32"/>
          <w:szCs w:val="32"/>
        </w:rPr>
      </w:pPr>
    </w:p>
    <w:p>
      <w:pPr>
        <w:pStyle w:val="22"/>
        <w:spacing w:line="360" w:lineRule="auto"/>
        <w:ind w:firstLine="640" w:firstLineChars="200"/>
        <w:rPr>
          <w:rFonts w:ascii="仿宋_GB2312" w:hAnsi="仿宋_GB2312" w:eastAsia="仿宋_GB2312" w:cs="Times New Roman"/>
          <w:sz w:val="32"/>
          <w:szCs w:val="32"/>
        </w:rPr>
      </w:pPr>
    </w:p>
    <w:p>
      <w:pPr>
        <w:pStyle w:val="22"/>
        <w:spacing w:line="360" w:lineRule="auto"/>
        <w:ind w:firstLine="640" w:firstLineChars="200"/>
        <w:rPr>
          <w:rFonts w:ascii="仿宋_GB2312" w:hAnsi="仿宋_GB2312" w:eastAsia="仿宋_GB2312" w:cs="Times New Roman"/>
          <w:sz w:val="32"/>
          <w:szCs w:val="32"/>
        </w:rPr>
      </w:pPr>
    </w:p>
    <w:p>
      <w:pPr>
        <w:pStyle w:val="22"/>
        <w:spacing w:line="360" w:lineRule="auto"/>
        <w:ind w:firstLine="640" w:firstLineChars="200"/>
        <w:rPr>
          <w:rFonts w:ascii="仿宋_GB2312" w:hAnsi="仿宋_GB2312" w:eastAsia="仿宋_GB2312" w:cs="Times New Roman"/>
          <w:sz w:val="32"/>
          <w:szCs w:val="32"/>
        </w:rPr>
        <w:sectPr>
          <w:footerReference r:id="rId3" w:type="default"/>
          <w:pgSz w:w="11906" w:h="16838"/>
          <w:pgMar w:top="1984" w:right="1474" w:bottom="1417" w:left="1587" w:header="851" w:footer="992" w:gutter="0"/>
          <w:pgNumType w:fmt="numberInDash" w:start="2"/>
          <w:cols w:space="720" w:num="1"/>
          <w:docGrid w:type="lines" w:linePitch="312" w:charSpace="0"/>
        </w:sectPr>
      </w:pPr>
    </w:p>
    <w:p>
      <w:pPr>
        <w:pStyle w:val="22"/>
        <w:spacing w:line="360" w:lineRule="auto"/>
        <w:ind w:firstLine="640" w:firstLineChars="200"/>
        <w:rPr>
          <w:rFonts w:ascii="仿宋_GB2312" w:hAnsi="仿宋_GB2312" w:eastAsia="仿宋_GB2312" w:cs="Times New Roman"/>
          <w:sz w:val="32"/>
          <w:szCs w:val="32"/>
        </w:rPr>
      </w:pPr>
    </w:p>
    <w:p>
      <w:pPr>
        <w:pStyle w:val="22"/>
        <w:spacing w:line="360" w:lineRule="auto"/>
        <w:ind w:firstLine="640" w:firstLineChars="200"/>
        <w:rPr>
          <w:rFonts w:ascii="仿宋_GB2312" w:hAnsi="仿宋_GB2312" w:eastAsia="仿宋_GB2312" w:cs="Times New Roman"/>
          <w:sz w:val="32"/>
          <w:szCs w:val="32"/>
        </w:rPr>
      </w:pPr>
    </w:p>
    <w:p>
      <w:pPr>
        <w:pStyle w:val="22"/>
        <w:spacing w:line="360" w:lineRule="auto"/>
        <w:ind w:firstLine="640" w:firstLineChars="200"/>
        <w:rPr>
          <w:rFonts w:ascii="仿宋_GB2312" w:hAnsi="仿宋_GB2312" w:eastAsia="仿宋_GB2312" w:cs="Times New Roman"/>
          <w:sz w:val="32"/>
          <w:szCs w:val="32"/>
        </w:rPr>
      </w:pPr>
    </w:p>
    <w:p>
      <w:pPr>
        <w:pStyle w:val="22"/>
        <w:spacing w:line="360" w:lineRule="auto"/>
        <w:ind w:firstLine="640" w:firstLineChars="200"/>
        <w:rPr>
          <w:rFonts w:ascii="仿宋_GB2312" w:hAnsi="仿宋_GB2312" w:eastAsia="仿宋_GB2312" w:cs="Times New Roman"/>
          <w:sz w:val="32"/>
          <w:szCs w:val="32"/>
        </w:rPr>
      </w:pPr>
    </w:p>
    <w:p>
      <w:pPr>
        <w:pStyle w:val="22"/>
        <w:spacing w:line="360" w:lineRule="auto"/>
        <w:ind w:firstLine="640" w:firstLineChars="200"/>
        <w:rPr>
          <w:rFonts w:ascii="仿宋_GB2312" w:hAnsi="仿宋_GB2312" w:eastAsia="仿宋_GB2312" w:cs="Times New Roman"/>
          <w:sz w:val="32"/>
          <w:szCs w:val="32"/>
        </w:rPr>
      </w:pPr>
    </w:p>
    <w:p>
      <w:pPr>
        <w:pStyle w:val="22"/>
        <w:spacing w:line="360" w:lineRule="auto"/>
        <w:ind w:firstLine="640" w:firstLineChars="200"/>
        <w:rPr>
          <w:rFonts w:ascii="仿宋_GB2312" w:hAnsi="仿宋_GB2312" w:eastAsia="仿宋_GB2312" w:cs="Times New Roman"/>
          <w:sz w:val="32"/>
          <w:szCs w:val="32"/>
        </w:rPr>
      </w:pPr>
    </w:p>
    <w:sectPr>
      <w:footerReference r:id="rId4" w:type="default"/>
      <w:pgSz w:w="11906" w:h="16838"/>
      <w:pgMar w:top="1984" w:right="1474" w:bottom="1417"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7BCD9D-5A6B-4264-8916-A2DF0E53F4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5DA2B23-401F-48D4-ABA1-0BDD48D895C2}"/>
  </w:font>
  <w:font w:name="等线">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embedRegular r:id="rId3" w:fontKey="{25ACF4C6-F575-4E65-B1A3-23E96F1CA293}"/>
  </w:font>
  <w:font w:name="仿宋">
    <w:panose1 w:val="02010609060101010101"/>
    <w:charset w:val="86"/>
    <w:family w:val="auto"/>
    <w:pitch w:val="default"/>
    <w:sig w:usb0="800002BF" w:usb1="38CF7CFA" w:usb2="00000016" w:usb3="00000000" w:csb0="00040001" w:csb1="00000000"/>
    <w:embedRegular r:id="rId4" w:fontKey="{733B94FA-8026-4EE6-8B5F-FC9D5908BFC9}"/>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5" w:fontKey="{1DCE829D-168C-4CD6-BAF8-32CAF3F74FCE}"/>
  </w:font>
  <w:font w:name="??">
    <w:altName w:val="Times New Roman"/>
    <w:panose1 w:val="00000000000000000000"/>
    <w:charset w:val="00"/>
    <w:family w:val="roman"/>
    <w:pitch w:val="default"/>
    <w:sig w:usb0="00000000" w:usb1="00000000" w:usb2="00000000" w:usb3="00000000" w:csb0="00000001" w:csb1="00000000"/>
  </w:font>
  <w:font w:name="华文仿宋">
    <w:altName w:val="仿宋"/>
    <w:panose1 w:val="00000000000000000000"/>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方正仿宋_GB2312">
    <w:panose1 w:val="02000000000000000000"/>
    <w:charset w:val="86"/>
    <w:family w:val="auto"/>
    <w:pitch w:val="default"/>
    <w:sig w:usb0="A00002BF" w:usb1="184F6CFA" w:usb2="00000012" w:usb3="00000000" w:csb0="00040001" w:csb1="00000000"/>
    <w:embedRegular r:id="rId6" w:fontKey="{E656AA53-5999-4DCC-8C18-BEA8DC38D9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文本框 2"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rPr>
                    <w:rStyle w:val="13"/>
                    <w:rFonts w:ascii="宋体"/>
                    <w:sz w:val="28"/>
                    <w:szCs w:val="28"/>
                  </w:rPr>
                </w:pPr>
                <w:r>
                  <w:rPr>
                    <w:rStyle w:val="13"/>
                    <w:rFonts w:ascii="宋体" w:hAnsi="宋体" w:cs="宋体"/>
                    <w:sz w:val="28"/>
                    <w:szCs w:val="28"/>
                  </w:rPr>
                  <w:fldChar w:fldCharType="begin"/>
                </w:r>
                <w:r>
                  <w:rPr>
                    <w:rStyle w:val="13"/>
                    <w:rFonts w:ascii="宋体" w:hAnsi="宋体" w:cs="宋体"/>
                    <w:sz w:val="28"/>
                    <w:szCs w:val="28"/>
                  </w:rPr>
                  <w:instrText xml:space="preserve">PAGE  </w:instrText>
                </w:r>
                <w:r>
                  <w:rPr>
                    <w:rStyle w:val="13"/>
                    <w:rFonts w:ascii="宋体" w:hAnsi="宋体" w:cs="宋体"/>
                    <w:sz w:val="28"/>
                    <w:szCs w:val="28"/>
                  </w:rPr>
                  <w:fldChar w:fldCharType="separate"/>
                </w:r>
                <w:r>
                  <w:rPr>
                    <w:rStyle w:val="13"/>
                    <w:rFonts w:ascii="宋体" w:hAnsi="宋体" w:cs="宋体"/>
                    <w:sz w:val="28"/>
                    <w:szCs w:val="28"/>
                  </w:rPr>
                  <w:t>- 26 -</w:t>
                </w:r>
                <w:r>
                  <w:rPr>
                    <w:rStyle w:val="13"/>
                    <w:rFonts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A276D"/>
    <w:rsid w:val="00051346"/>
    <w:rsid w:val="0005175A"/>
    <w:rsid w:val="00065A4A"/>
    <w:rsid w:val="0007388B"/>
    <w:rsid w:val="000917C8"/>
    <w:rsid w:val="00094A8A"/>
    <w:rsid w:val="000A50C3"/>
    <w:rsid w:val="000A7E12"/>
    <w:rsid w:val="000B20AF"/>
    <w:rsid w:val="000D7F98"/>
    <w:rsid w:val="000F1741"/>
    <w:rsid w:val="000F19A7"/>
    <w:rsid w:val="000F1BED"/>
    <w:rsid w:val="00102DA7"/>
    <w:rsid w:val="00125207"/>
    <w:rsid w:val="00126D2C"/>
    <w:rsid w:val="001358A4"/>
    <w:rsid w:val="00144CA9"/>
    <w:rsid w:val="0015529C"/>
    <w:rsid w:val="001600D7"/>
    <w:rsid w:val="0016737A"/>
    <w:rsid w:val="001741DA"/>
    <w:rsid w:val="00187E4B"/>
    <w:rsid w:val="0019312C"/>
    <w:rsid w:val="00194EC8"/>
    <w:rsid w:val="00196D56"/>
    <w:rsid w:val="001A12F2"/>
    <w:rsid w:val="001A79D7"/>
    <w:rsid w:val="001E0894"/>
    <w:rsid w:val="001E6F19"/>
    <w:rsid w:val="00213130"/>
    <w:rsid w:val="002264D4"/>
    <w:rsid w:val="00254DA7"/>
    <w:rsid w:val="00257DA7"/>
    <w:rsid w:val="0029093F"/>
    <w:rsid w:val="00290BCA"/>
    <w:rsid w:val="00293474"/>
    <w:rsid w:val="00294D34"/>
    <w:rsid w:val="002C3E86"/>
    <w:rsid w:val="002C5793"/>
    <w:rsid w:val="002C6046"/>
    <w:rsid w:val="002D1D76"/>
    <w:rsid w:val="002D7B3D"/>
    <w:rsid w:val="002E0C2E"/>
    <w:rsid w:val="002E5847"/>
    <w:rsid w:val="002E5AA5"/>
    <w:rsid w:val="002F2C23"/>
    <w:rsid w:val="002F5E57"/>
    <w:rsid w:val="002F72AD"/>
    <w:rsid w:val="0030692B"/>
    <w:rsid w:val="0031421A"/>
    <w:rsid w:val="00354A37"/>
    <w:rsid w:val="0036265D"/>
    <w:rsid w:val="00376884"/>
    <w:rsid w:val="00385573"/>
    <w:rsid w:val="00393367"/>
    <w:rsid w:val="003A02EB"/>
    <w:rsid w:val="003A1F26"/>
    <w:rsid w:val="003A715F"/>
    <w:rsid w:val="003C51AF"/>
    <w:rsid w:val="003C542D"/>
    <w:rsid w:val="003E0DA6"/>
    <w:rsid w:val="003F59D7"/>
    <w:rsid w:val="003F5BA5"/>
    <w:rsid w:val="00407480"/>
    <w:rsid w:val="00413A4D"/>
    <w:rsid w:val="00413B33"/>
    <w:rsid w:val="004166C6"/>
    <w:rsid w:val="00427B81"/>
    <w:rsid w:val="004346C1"/>
    <w:rsid w:val="0043690D"/>
    <w:rsid w:val="00461461"/>
    <w:rsid w:val="00466D8F"/>
    <w:rsid w:val="004706A1"/>
    <w:rsid w:val="00483A20"/>
    <w:rsid w:val="00487205"/>
    <w:rsid w:val="004B0A70"/>
    <w:rsid w:val="004B1133"/>
    <w:rsid w:val="004B4D72"/>
    <w:rsid w:val="004C5AEF"/>
    <w:rsid w:val="004F5F4C"/>
    <w:rsid w:val="0050729B"/>
    <w:rsid w:val="00510831"/>
    <w:rsid w:val="00515520"/>
    <w:rsid w:val="005207D6"/>
    <w:rsid w:val="00523BE0"/>
    <w:rsid w:val="005305B6"/>
    <w:rsid w:val="005315ED"/>
    <w:rsid w:val="00543F76"/>
    <w:rsid w:val="00545118"/>
    <w:rsid w:val="005530E9"/>
    <w:rsid w:val="00560DED"/>
    <w:rsid w:val="00575C96"/>
    <w:rsid w:val="005815D7"/>
    <w:rsid w:val="00594FA7"/>
    <w:rsid w:val="005B2967"/>
    <w:rsid w:val="005D555F"/>
    <w:rsid w:val="005D6D4B"/>
    <w:rsid w:val="005E506E"/>
    <w:rsid w:val="005E55BF"/>
    <w:rsid w:val="005F41C0"/>
    <w:rsid w:val="005F6796"/>
    <w:rsid w:val="00603E23"/>
    <w:rsid w:val="006127C7"/>
    <w:rsid w:val="00615EBF"/>
    <w:rsid w:val="0061752E"/>
    <w:rsid w:val="0061792C"/>
    <w:rsid w:val="0063640C"/>
    <w:rsid w:val="00652D1C"/>
    <w:rsid w:val="00654ED7"/>
    <w:rsid w:val="00656E40"/>
    <w:rsid w:val="006705DA"/>
    <w:rsid w:val="00683B92"/>
    <w:rsid w:val="006B4F2D"/>
    <w:rsid w:val="006C254E"/>
    <w:rsid w:val="006C4CBB"/>
    <w:rsid w:val="006C62C3"/>
    <w:rsid w:val="006E571D"/>
    <w:rsid w:val="006F0214"/>
    <w:rsid w:val="006F40D8"/>
    <w:rsid w:val="006F57F4"/>
    <w:rsid w:val="006F6C1E"/>
    <w:rsid w:val="0070557F"/>
    <w:rsid w:val="00707830"/>
    <w:rsid w:val="00707991"/>
    <w:rsid w:val="0071372A"/>
    <w:rsid w:val="007279A2"/>
    <w:rsid w:val="007279F3"/>
    <w:rsid w:val="00731B5D"/>
    <w:rsid w:val="0073366A"/>
    <w:rsid w:val="00740103"/>
    <w:rsid w:val="007549C9"/>
    <w:rsid w:val="00755CB2"/>
    <w:rsid w:val="0076401B"/>
    <w:rsid w:val="00767250"/>
    <w:rsid w:val="00770149"/>
    <w:rsid w:val="00783A94"/>
    <w:rsid w:val="00787505"/>
    <w:rsid w:val="007A5B40"/>
    <w:rsid w:val="007B58EA"/>
    <w:rsid w:val="007C4551"/>
    <w:rsid w:val="007D29DF"/>
    <w:rsid w:val="007D4B7D"/>
    <w:rsid w:val="007D6875"/>
    <w:rsid w:val="007F3A87"/>
    <w:rsid w:val="007F5C0B"/>
    <w:rsid w:val="00807F87"/>
    <w:rsid w:val="00810DBF"/>
    <w:rsid w:val="0081784F"/>
    <w:rsid w:val="00827FFA"/>
    <w:rsid w:val="008349E1"/>
    <w:rsid w:val="00836331"/>
    <w:rsid w:val="008566C2"/>
    <w:rsid w:val="008607EE"/>
    <w:rsid w:val="008662B8"/>
    <w:rsid w:val="00866608"/>
    <w:rsid w:val="008846F3"/>
    <w:rsid w:val="00891B3C"/>
    <w:rsid w:val="008C0D12"/>
    <w:rsid w:val="008C33A8"/>
    <w:rsid w:val="008C4810"/>
    <w:rsid w:val="008E17BD"/>
    <w:rsid w:val="008E3A49"/>
    <w:rsid w:val="008F11CB"/>
    <w:rsid w:val="0090677F"/>
    <w:rsid w:val="009119FE"/>
    <w:rsid w:val="00917868"/>
    <w:rsid w:val="00937309"/>
    <w:rsid w:val="009441AC"/>
    <w:rsid w:val="00946FC5"/>
    <w:rsid w:val="00952228"/>
    <w:rsid w:val="00954793"/>
    <w:rsid w:val="00957119"/>
    <w:rsid w:val="0096332C"/>
    <w:rsid w:val="00963532"/>
    <w:rsid w:val="0096363B"/>
    <w:rsid w:val="00971A42"/>
    <w:rsid w:val="00974C76"/>
    <w:rsid w:val="00982098"/>
    <w:rsid w:val="00991DE2"/>
    <w:rsid w:val="009964B2"/>
    <w:rsid w:val="009A044C"/>
    <w:rsid w:val="009A2D05"/>
    <w:rsid w:val="009E303C"/>
    <w:rsid w:val="009E473E"/>
    <w:rsid w:val="009E600B"/>
    <w:rsid w:val="009F1A1D"/>
    <w:rsid w:val="009F5DE7"/>
    <w:rsid w:val="00A00B6A"/>
    <w:rsid w:val="00A02882"/>
    <w:rsid w:val="00A0492A"/>
    <w:rsid w:val="00A17B15"/>
    <w:rsid w:val="00A25209"/>
    <w:rsid w:val="00A40CAD"/>
    <w:rsid w:val="00A46A2B"/>
    <w:rsid w:val="00A56BF1"/>
    <w:rsid w:val="00A60F10"/>
    <w:rsid w:val="00A63F58"/>
    <w:rsid w:val="00A742B7"/>
    <w:rsid w:val="00A97B71"/>
    <w:rsid w:val="00AA276D"/>
    <w:rsid w:val="00AA670A"/>
    <w:rsid w:val="00AB2D1A"/>
    <w:rsid w:val="00AC5F24"/>
    <w:rsid w:val="00AD115B"/>
    <w:rsid w:val="00AE43C3"/>
    <w:rsid w:val="00B01607"/>
    <w:rsid w:val="00B031D8"/>
    <w:rsid w:val="00B133E1"/>
    <w:rsid w:val="00B17C00"/>
    <w:rsid w:val="00B24AC3"/>
    <w:rsid w:val="00B2740B"/>
    <w:rsid w:val="00B41F3B"/>
    <w:rsid w:val="00B50B9A"/>
    <w:rsid w:val="00B61C3A"/>
    <w:rsid w:val="00B6425F"/>
    <w:rsid w:val="00B7380E"/>
    <w:rsid w:val="00B76280"/>
    <w:rsid w:val="00B766B4"/>
    <w:rsid w:val="00B820E2"/>
    <w:rsid w:val="00B821B3"/>
    <w:rsid w:val="00B8530F"/>
    <w:rsid w:val="00B8567C"/>
    <w:rsid w:val="00B8639E"/>
    <w:rsid w:val="00BA3924"/>
    <w:rsid w:val="00BC77CA"/>
    <w:rsid w:val="00BD0042"/>
    <w:rsid w:val="00BE7732"/>
    <w:rsid w:val="00C00384"/>
    <w:rsid w:val="00C01D91"/>
    <w:rsid w:val="00C07CF9"/>
    <w:rsid w:val="00C12EE0"/>
    <w:rsid w:val="00C154B5"/>
    <w:rsid w:val="00C17112"/>
    <w:rsid w:val="00C31DDC"/>
    <w:rsid w:val="00C33227"/>
    <w:rsid w:val="00C37A1A"/>
    <w:rsid w:val="00C65113"/>
    <w:rsid w:val="00C7289D"/>
    <w:rsid w:val="00C82032"/>
    <w:rsid w:val="00CC1EE1"/>
    <w:rsid w:val="00CC1EF2"/>
    <w:rsid w:val="00CC383F"/>
    <w:rsid w:val="00CC7B89"/>
    <w:rsid w:val="00CD4540"/>
    <w:rsid w:val="00CE32CD"/>
    <w:rsid w:val="00CE5162"/>
    <w:rsid w:val="00CF1447"/>
    <w:rsid w:val="00D0120A"/>
    <w:rsid w:val="00D11E9B"/>
    <w:rsid w:val="00D2555A"/>
    <w:rsid w:val="00D25C8B"/>
    <w:rsid w:val="00D33699"/>
    <w:rsid w:val="00D41110"/>
    <w:rsid w:val="00D45FBC"/>
    <w:rsid w:val="00D62DCC"/>
    <w:rsid w:val="00D73C1D"/>
    <w:rsid w:val="00D73E10"/>
    <w:rsid w:val="00DA02C2"/>
    <w:rsid w:val="00DA0908"/>
    <w:rsid w:val="00DA690C"/>
    <w:rsid w:val="00DB3FC1"/>
    <w:rsid w:val="00DB40F2"/>
    <w:rsid w:val="00E107C1"/>
    <w:rsid w:val="00E14736"/>
    <w:rsid w:val="00E34102"/>
    <w:rsid w:val="00E351A4"/>
    <w:rsid w:val="00E410F2"/>
    <w:rsid w:val="00E45386"/>
    <w:rsid w:val="00E45D98"/>
    <w:rsid w:val="00E6028D"/>
    <w:rsid w:val="00E67D03"/>
    <w:rsid w:val="00E72648"/>
    <w:rsid w:val="00E821CE"/>
    <w:rsid w:val="00E845CC"/>
    <w:rsid w:val="00E8567E"/>
    <w:rsid w:val="00E86985"/>
    <w:rsid w:val="00E87809"/>
    <w:rsid w:val="00E9124C"/>
    <w:rsid w:val="00E9224C"/>
    <w:rsid w:val="00EA5807"/>
    <w:rsid w:val="00EB6B5E"/>
    <w:rsid w:val="00EC5E85"/>
    <w:rsid w:val="00EF5B32"/>
    <w:rsid w:val="00F120EC"/>
    <w:rsid w:val="00F15BDB"/>
    <w:rsid w:val="00F30C54"/>
    <w:rsid w:val="00F31B8E"/>
    <w:rsid w:val="00F3321A"/>
    <w:rsid w:val="00F35795"/>
    <w:rsid w:val="00F35B88"/>
    <w:rsid w:val="00F4255F"/>
    <w:rsid w:val="00F50FAD"/>
    <w:rsid w:val="00F531E8"/>
    <w:rsid w:val="00F7688A"/>
    <w:rsid w:val="00F83891"/>
    <w:rsid w:val="00F95033"/>
    <w:rsid w:val="00F97450"/>
    <w:rsid w:val="00FA432A"/>
    <w:rsid w:val="00FA4DDC"/>
    <w:rsid w:val="00FA5FEC"/>
    <w:rsid w:val="00FB5D1A"/>
    <w:rsid w:val="00FC4E49"/>
    <w:rsid w:val="00FD1029"/>
    <w:rsid w:val="00FD4C88"/>
    <w:rsid w:val="00FD661E"/>
    <w:rsid w:val="00FE06D0"/>
    <w:rsid w:val="00FF09E7"/>
    <w:rsid w:val="14065762"/>
    <w:rsid w:val="186C507B"/>
    <w:rsid w:val="295C3450"/>
    <w:rsid w:val="46793248"/>
    <w:rsid w:val="553D6B06"/>
    <w:rsid w:val="65A11149"/>
    <w:rsid w:val="69CF7F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5"/>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3"/>
    <w:basedOn w:val="1"/>
    <w:next w:val="1"/>
    <w:link w:val="16"/>
    <w:qFormat/>
    <w:uiPriority w:val="9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99"/>
    <w:pPr>
      <w:spacing w:after="120"/>
    </w:pPr>
    <w:rPr>
      <w:rFonts w:ascii="等线" w:hAnsi="等线" w:eastAsia="等线" w:cs="等线"/>
    </w:rPr>
  </w:style>
  <w:style w:type="paragraph" w:styleId="5">
    <w:name w:val="annotation text"/>
    <w:basedOn w:val="1"/>
    <w:link w:val="18"/>
    <w:semiHidden/>
    <w:qFormat/>
    <w:uiPriority w:val="99"/>
    <w:pPr>
      <w:jc w:val="left"/>
    </w:pPr>
    <w:rPr>
      <w:rFonts w:ascii="Calibri" w:hAnsi="Calibri" w:cs="Calibri"/>
    </w:rPr>
  </w:style>
  <w:style w:type="paragraph" w:styleId="6">
    <w:name w:val="Date"/>
    <w:basedOn w:val="1"/>
    <w:next w:val="1"/>
    <w:link w:val="19"/>
    <w:qFormat/>
    <w:uiPriority w:val="99"/>
    <w:pPr>
      <w:ind w:left="100" w:leftChars="2500"/>
    </w:p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99"/>
    <w:rPr>
      <w:b/>
      <w:bCs/>
    </w:rPr>
  </w:style>
  <w:style w:type="character" w:styleId="13">
    <w:name w:val="page number"/>
    <w:basedOn w:val="11"/>
    <w:qFormat/>
    <w:uiPriority w:val="99"/>
  </w:style>
  <w:style w:type="character" w:styleId="14">
    <w:name w:val="Emphasis"/>
    <w:basedOn w:val="11"/>
    <w:qFormat/>
    <w:uiPriority w:val="99"/>
    <w:rPr>
      <w:i/>
      <w:iCs/>
    </w:rPr>
  </w:style>
  <w:style w:type="character" w:customStyle="1" w:styleId="15">
    <w:name w:val="标题 1 Char"/>
    <w:basedOn w:val="11"/>
    <w:link w:val="3"/>
    <w:qFormat/>
    <w:locked/>
    <w:uiPriority w:val="99"/>
    <w:rPr>
      <w:rFonts w:ascii="宋体" w:eastAsia="宋体" w:cs="宋体"/>
      <w:b/>
      <w:bCs/>
      <w:kern w:val="36"/>
      <w:sz w:val="48"/>
      <w:szCs w:val="48"/>
    </w:rPr>
  </w:style>
  <w:style w:type="character" w:customStyle="1" w:styleId="16">
    <w:name w:val="标题 3 Char"/>
    <w:basedOn w:val="11"/>
    <w:link w:val="4"/>
    <w:semiHidden/>
    <w:qFormat/>
    <w:locked/>
    <w:uiPriority w:val="99"/>
    <w:rPr>
      <w:rFonts w:ascii="Times New Roman" w:hAnsi="Times New Roman" w:cs="Times New Roman"/>
      <w:b/>
      <w:bCs/>
      <w:sz w:val="32"/>
      <w:szCs w:val="32"/>
    </w:rPr>
  </w:style>
  <w:style w:type="character" w:customStyle="1" w:styleId="17">
    <w:name w:val="正文文本 Char"/>
    <w:basedOn w:val="11"/>
    <w:link w:val="2"/>
    <w:qFormat/>
    <w:locked/>
    <w:uiPriority w:val="99"/>
    <w:rPr>
      <w:rFonts w:ascii="等线" w:hAnsi="等线" w:eastAsia="等线" w:cs="等线"/>
      <w:kern w:val="2"/>
      <w:sz w:val="24"/>
      <w:szCs w:val="24"/>
    </w:rPr>
  </w:style>
  <w:style w:type="character" w:customStyle="1" w:styleId="18">
    <w:name w:val="批注文字 Char"/>
    <w:basedOn w:val="11"/>
    <w:link w:val="5"/>
    <w:qFormat/>
    <w:locked/>
    <w:uiPriority w:val="99"/>
    <w:rPr>
      <w:rFonts w:ascii="Calibri" w:hAnsi="Calibri" w:eastAsia="宋体" w:cs="Calibri"/>
      <w:sz w:val="24"/>
      <w:szCs w:val="24"/>
    </w:rPr>
  </w:style>
  <w:style w:type="character" w:customStyle="1" w:styleId="19">
    <w:name w:val="日期 Char"/>
    <w:basedOn w:val="11"/>
    <w:link w:val="6"/>
    <w:semiHidden/>
    <w:qFormat/>
    <w:locked/>
    <w:uiPriority w:val="99"/>
    <w:rPr>
      <w:rFonts w:ascii="Times New Roman" w:hAnsi="Times New Roman" w:cs="Times New Roman"/>
      <w:kern w:val="2"/>
      <w:sz w:val="24"/>
      <w:szCs w:val="24"/>
    </w:rPr>
  </w:style>
  <w:style w:type="character" w:customStyle="1" w:styleId="20">
    <w:name w:val="页脚 Char"/>
    <w:basedOn w:val="11"/>
    <w:link w:val="7"/>
    <w:qFormat/>
    <w:locked/>
    <w:uiPriority w:val="99"/>
    <w:rPr>
      <w:rFonts w:ascii="Times New Roman" w:hAnsi="Times New Roman" w:eastAsia="宋体" w:cs="Times New Roman"/>
      <w:sz w:val="18"/>
      <w:szCs w:val="18"/>
    </w:rPr>
  </w:style>
  <w:style w:type="character" w:customStyle="1" w:styleId="21">
    <w:name w:val="页眉 Char"/>
    <w:basedOn w:val="11"/>
    <w:link w:val="8"/>
    <w:qFormat/>
    <w:locked/>
    <w:uiPriority w:val="99"/>
    <w:rPr>
      <w:rFonts w:ascii="Times New Roman" w:hAnsi="Times New Roman" w:eastAsia="宋体" w:cs="Times New Roman"/>
      <w:sz w:val="18"/>
      <w:szCs w:val="18"/>
    </w:rPr>
  </w:style>
  <w:style w:type="paragraph" w:styleId="22">
    <w:name w:val="No Spacing"/>
    <w:qFormat/>
    <w:uiPriority w:val="99"/>
    <w:pPr>
      <w:adjustRightInd w:val="0"/>
      <w:snapToGrid w:val="0"/>
    </w:pPr>
    <w:rPr>
      <w:rFonts w:ascii="Tahoma" w:hAnsi="Tahoma" w:eastAsia="微软雅黑" w:cs="Tahoma"/>
      <w:kern w:val="0"/>
      <w:sz w:val="22"/>
      <w:szCs w:val="22"/>
      <w:lang w:val="en-US" w:eastAsia="zh-CN" w:bidi="ar-SA"/>
    </w:rPr>
  </w:style>
  <w:style w:type="paragraph" w:customStyle="1" w:styleId="23">
    <w:name w:val="Char Char Char Char Char Char Char"/>
    <w:basedOn w:val="1"/>
    <w:qFormat/>
    <w:uiPriority w:val="99"/>
    <w:pPr>
      <w:tabs>
        <w:tab w:val="left" w:pos="1723"/>
      </w:tabs>
      <w:ind w:left="1723" w:hanging="1080"/>
    </w:pPr>
    <w:rPr>
      <w:rFonts w:eastAsia="仿宋_GB2312"/>
      <w:sz w:val="24"/>
      <w:szCs w:val="24"/>
    </w:rPr>
  </w:style>
  <w:style w:type="character" w:customStyle="1" w:styleId="24">
    <w:name w:val="NormalCharacter"/>
    <w:semiHidden/>
    <w:qFormat/>
    <w:uiPriority w:val="99"/>
  </w:style>
  <w:style w:type="character" w:customStyle="1" w:styleId="25">
    <w:name w:val="markedcontent"/>
    <w:basedOn w:val="11"/>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2055</Words>
  <Characters>11717</Characters>
  <Lines>97</Lines>
  <Paragraphs>27</Paragraphs>
  <TotalTime>0</TotalTime>
  <ScaleCrop>false</ScaleCrop>
  <LinksUpToDate>false</LinksUpToDate>
  <CharactersWithSpaces>13745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2022-04-07T08:06:00Z</dcterms:created>
  <dc:creator>Administrator</dc:creator>
  <cp:lastModifiedBy>WPS2019</cp:lastModifiedBy>
  <cp:lastPrinted>2022-04-07T02:37:00Z</cp:lastPrinted>
  <dcterms:modified xsi:type="dcterms:W3CDTF">2022-04-26T02:06:11Z</dcterms:modified>
  <dc:title>守正创新强内涵  砥砺奋进促发展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4D0303EA5AE14955A154001D042D3796</vt:lpwstr>
  </property>
</Properties>
</file>