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5AA1">
      <w:pPr>
        <w:jc w:val="center"/>
        <w:rPr>
          <w:rFonts w:ascii="宋体" w:cs="黑体"/>
          <w:b/>
          <w:sz w:val="36"/>
          <w:szCs w:val="36"/>
        </w:rPr>
      </w:pPr>
      <w:r>
        <w:rPr>
          <w:rFonts w:hint="eastAsia" w:ascii="宋体" w:hAnsi="宋体" w:cs="黑体"/>
          <w:b/>
          <w:sz w:val="36"/>
          <w:szCs w:val="36"/>
        </w:rPr>
        <w:t>齐齐哈尔医学院附属第一医院</w:t>
      </w:r>
    </w:p>
    <w:p w14:paraId="1E1C90C4">
      <w:pPr>
        <w:jc w:val="center"/>
        <w:rPr>
          <w:rFonts w:hint="eastAsia" w:ascii="宋体" w:hAnsi="宋体" w:eastAsia="宋体" w:cs="黑体"/>
          <w:b/>
          <w:bCs/>
          <w:sz w:val="36"/>
          <w:szCs w:val="36"/>
          <w:lang w:eastAsia="zh-CN"/>
        </w:rPr>
      </w:pPr>
      <w:r>
        <w:rPr>
          <w:rFonts w:hint="eastAsia" w:ascii="宋体" w:hAnsi="宋体" w:cs="黑体"/>
          <w:b/>
          <w:sz w:val="36"/>
          <w:szCs w:val="36"/>
        </w:rPr>
        <w:t>开展</w:t>
      </w:r>
      <w:r>
        <w:rPr>
          <w:rFonts w:hint="eastAsia" w:ascii="宋体" w:hAnsi="宋体" w:cs="黑体"/>
          <w:b/>
          <w:bCs/>
          <w:sz w:val="36"/>
          <w:szCs w:val="36"/>
        </w:rPr>
        <w:t>放射性粒子植入治疗技术</w:t>
      </w:r>
      <w:r>
        <w:rPr>
          <w:rFonts w:hint="eastAsia" w:ascii="宋体" w:hAnsi="宋体" w:cs="黑体"/>
          <w:b/>
          <w:bCs/>
          <w:color w:val="auto"/>
          <w:sz w:val="36"/>
          <w:szCs w:val="36"/>
          <w:lang w:eastAsia="zh-CN"/>
        </w:rPr>
        <w:t>临床应用情况</w:t>
      </w:r>
    </w:p>
    <w:p w14:paraId="2C697895">
      <w:pPr>
        <w:jc w:val="center"/>
        <w:rPr>
          <w:rFonts w:hint="eastAsia" w:ascii="宋体" w:hAnsi="宋体" w:cs="黑体"/>
          <w:b/>
          <w:sz w:val="36"/>
          <w:szCs w:val="36"/>
          <w:lang w:val="en-US" w:eastAsia="zh-CN"/>
        </w:rPr>
      </w:pPr>
      <w:r>
        <w:rPr>
          <w:rFonts w:hint="eastAsia" w:ascii="宋体" w:hAnsi="宋体" w:cs="黑体"/>
          <w:b/>
          <w:sz w:val="36"/>
          <w:szCs w:val="36"/>
          <w:lang w:val="en-US" w:eastAsia="zh-CN"/>
        </w:rPr>
        <w:t>（2023年至2024年）</w:t>
      </w:r>
    </w:p>
    <w:p w14:paraId="386D9367">
      <w:pPr>
        <w:jc w:val="center"/>
        <w:rPr>
          <w:rFonts w:hint="eastAsia" w:ascii="宋体" w:hAnsi="宋体" w:cs="黑体"/>
          <w:b/>
          <w:bCs/>
          <w:sz w:val="36"/>
          <w:szCs w:val="36"/>
        </w:rPr>
      </w:pPr>
    </w:p>
    <w:p w14:paraId="078ACA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color w:val="auto"/>
          <w:sz w:val="32"/>
          <w:szCs w:val="32"/>
          <w:lang w:val="en-US" w:eastAsia="zh-CN"/>
        </w:rPr>
        <w:t>根据</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国家</w:t>
      </w:r>
      <w:r>
        <w:rPr>
          <w:rFonts w:hint="eastAsia" w:ascii="仿宋_GB2312" w:hAnsi="宋体" w:eastAsia="仿宋_GB2312" w:cs="宋体"/>
          <w:sz w:val="32"/>
          <w:szCs w:val="32"/>
        </w:rPr>
        <w:t>限制类医疗技术</w:t>
      </w:r>
      <w:r>
        <w:rPr>
          <w:rFonts w:hint="eastAsia" w:ascii="仿宋_GB2312" w:hAnsi="宋体" w:eastAsia="仿宋_GB2312" w:cs="宋体"/>
          <w:sz w:val="32"/>
          <w:szCs w:val="32"/>
          <w:lang w:val="en-US" w:eastAsia="zh-CN"/>
        </w:rPr>
        <w:t>目录</w:t>
      </w:r>
      <w:r>
        <w:rPr>
          <w:rFonts w:hint="eastAsia" w:ascii="仿宋_GB2312" w:hAnsi="宋体" w:eastAsia="仿宋_GB2312" w:cs="宋体"/>
          <w:sz w:val="32"/>
          <w:szCs w:val="32"/>
        </w:rPr>
        <w:t>（</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版）》</w:t>
      </w:r>
      <w:r>
        <w:rPr>
          <w:rFonts w:hint="eastAsia" w:ascii="仿宋_GB2312" w:hAnsi="宋体" w:eastAsia="仿宋_GB2312" w:cs="宋体"/>
          <w:sz w:val="32"/>
          <w:szCs w:val="32"/>
          <w:lang w:val="en-US" w:eastAsia="zh-CN"/>
        </w:rPr>
        <w:t>和《国家限制类技术临床应用管理规范（2022）版）》</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rPr>
        <w:t>现对我院</w:t>
      </w:r>
      <w:r>
        <w:rPr>
          <w:rFonts w:hint="eastAsia" w:ascii="仿宋" w:hAnsi="仿宋" w:eastAsia="仿宋" w:cs="仿宋"/>
          <w:b w:val="0"/>
          <w:bCs/>
          <w:sz w:val="32"/>
          <w:szCs w:val="32"/>
        </w:rPr>
        <w:t>开展放射性粒子植入治疗技术</w:t>
      </w:r>
      <w:r>
        <w:rPr>
          <w:rFonts w:hint="eastAsia" w:ascii="仿宋" w:hAnsi="仿宋" w:eastAsia="仿宋" w:cs="仿宋"/>
          <w:color w:val="000000"/>
          <w:sz w:val="32"/>
          <w:szCs w:val="32"/>
        </w:rPr>
        <w:t>提出准入评审，</w:t>
      </w:r>
      <w:r>
        <w:rPr>
          <w:rFonts w:hint="eastAsia" w:ascii="仿宋" w:hAnsi="仿宋" w:eastAsia="仿宋" w:cs="仿宋"/>
          <w:color w:val="auto"/>
          <w:kern w:val="0"/>
          <w:sz w:val="32"/>
          <w:szCs w:val="32"/>
          <w:lang w:val="en-US" w:eastAsia="zh-CN"/>
        </w:rPr>
        <w:t>特作</w:t>
      </w:r>
      <w:r>
        <w:rPr>
          <w:rFonts w:hint="eastAsia" w:ascii="仿宋" w:hAnsi="仿宋" w:eastAsia="仿宋" w:cs="仿宋"/>
          <w:color w:val="auto"/>
          <w:kern w:val="0"/>
          <w:sz w:val="32"/>
          <w:szCs w:val="32"/>
          <w:lang w:eastAsia="zh-CN"/>
        </w:rPr>
        <w:t>自我评估</w:t>
      </w:r>
      <w:r>
        <w:rPr>
          <w:rFonts w:hint="eastAsia" w:ascii="仿宋" w:hAnsi="仿宋" w:eastAsia="仿宋" w:cs="仿宋"/>
          <w:color w:val="000000"/>
          <w:sz w:val="32"/>
          <w:szCs w:val="32"/>
        </w:rPr>
        <w:t>，如下：</w:t>
      </w:r>
    </w:p>
    <w:p w14:paraId="6DCFC5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一、医院周围医疗环境</w:t>
      </w:r>
    </w:p>
    <w:p w14:paraId="57760F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齐齐哈尔医学院附属第一医院是集医疗、教学、科研、预防、保健于一体的综合性三级甲等医院，</w:t>
      </w:r>
      <w:r>
        <w:rPr>
          <w:rFonts w:hint="eastAsia" w:ascii="仿宋" w:hAnsi="仿宋" w:eastAsia="仿宋" w:cs="仿宋"/>
          <w:bCs/>
          <w:sz w:val="32"/>
          <w:szCs w:val="32"/>
          <w:lang w:val="en-US" w:eastAsia="zh-CN"/>
        </w:rPr>
        <w:t>医院占地面积13.3万平方米，</w:t>
      </w:r>
      <w:r>
        <w:rPr>
          <w:rFonts w:hint="eastAsia" w:ascii="仿宋" w:hAnsi="仿宋" w:eastAsia="仿宋" w:cs="仿宋"/>
          <w:color w:val="000000"/>
          <w:sz w:val="32"/>
          <w:szCs w:val="32"/>
        </w:rPr>
        <w:t>具有《放射诊疗许可证》、《放射性药品使用许可证》（第一类及以上）、《辐射安全许可证》等相关资质证明文件</w:t>
      </w:r>
      <w:r>
        <w:rPr>
          <w:rFonts w:hint="eastAsia" w:ascii="仿宋" w:hAnsi="仿宋" w:eastAsia="仿宋" w:cs="仿宋"/>
          <w:sz w:val="32"/>
          <w:szCs w:val="32"/>
        </w:rPr>
        <w:t>。</w:t>
      </w:r>
    </w:p>
    <w:p w14:paraId="1722B1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二、医院硬件设施</w:t>
      </w:r>
    </w:p>
    <w:p w14:paraId="6F8B4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我院开放床位</w:t>
      </w:r>
      <w:r>
        <w:rPr>
          <w:rFonts w:hint="eastAsia" w:ascii="仿宋" w:hAnsi="仿宋" w:eastAsia="仿宋" w:cs="仿宋"/>
          <w:color w:val="000000"/>
          <w:sz w:val="32"/>
          <w:szCs w:val="32"/>
          <w:lang w:val="en-US" w:eastAsia="zh-CN"/>
        </w:rPr>
        <w:t>800</w:t>
      </w:r>
      <w:r>
        <w:rPr>
          <w:rFonts w:hint="eastAsia" w:ascii="仿宋" w:hAnsi="仿宋" w:eastAsia="仿宋" w:cs="仿宋"/>
          <w:color w:val="000000"/>
          <w:sz w:val="32"/>
          <w:szCs w:val="32"/>
        </w:rPr>
        <w:t>张，具有卫生行政部门核准登记的与开展该技术相关的专业诊疗科目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拥有</w:t>
      </w:r>
      <w:r>
        <w:rPr>
          <w:rFonts w:hint="eastAsia" w:ascii="仿宋" w:hAnsi="仿宋" w:eastAsia="仿宋" w:cs="仿宋"/>
          <w:sz w:val="32"/>
          <w:szCs w:val="32"/>
        </w:rPr>
        <w:t>具有影像引导技术设备（超声、CT、MRI、内镜等）和放射粒子治疗计划系统</w:t>
      </w:r>
      <w:r>
        <w:rPr>
          <w:rFonts w:hint="eastAsia" w:ascii="仿宋" w:hAnsi="仿宋" w:eastAsia="仿宋" w:cs="仿宋"/>
          <w:sz w:val="32"/>
          <w:szCs w:val="32"/>
          <w:lang w:eastAsia="zh-CN"/>
        </w:rPr>
        <w:t>，</w:t>
      </w:r>
      <w:r>
        <w:rPr>
          <w:rFonts w:hint="eastAsia" w:ascii="仿宋" w:hAnsi="仿宋" w:eastAsia="仿宋" w:cs="仿宋"/>
          <w:sz w:val="32"/>
          <w:szCs w:val="32"/>
        </w:rPr>
        <w:t>全部影像引导技术设备（超声、CT、MRI、DSA）具备医学影像图像管理系统</w:t>
      </w:r>
      <w:r>
        <w:rPr>
          <w:rFonts w:hint="eastAsia" w:ascii="仿宋" w:hAnsi="仿宋" w:eastAsia="仿宋" w:cs="仿宋"/>
          <w:color w:val="000000"/>
          <w:sz w:val="32"/>
          <w:szCs w:val="32"/>
          <w:lang w:val="en-US" w:eastAsia="zh-CN"/>
        </w:rPr>
        <w:t>，具有放射性粒子植入治疗计划系统，</w:t>
      </w:r>
      <w:r>
        <w:rPr>
          <w:rFonts w:hint="eastAsia" w:ascii="仿宋" w:hAnsi="仿宋" w:eastAsia="仿宋" w:cs="仿宋"/>
          <w:color w:val="000000"/>
          <w:sz w:val="32"/>
          <w:szCs w:val="32"/>
        </w:rPr>
        <w:t>设置符合规范要求。</w:t>
      </w:r>
    </w:p>
    <w:p w14:paraId="28076C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三、科室情况</w:t>
      </w:r>
    </w:p>
    <w:p w14:paraId="7C396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肿瘤治疗</w:t>
      </w:r>
      <w:r>
        <w:rPr>
          <w:rFonts w:hint="eastAsia" w:ascii="仿宋" w:hAnsi="仿宋" w:eastAsia="仿宋" w:cs="仿宋"/>
          <w:sz w:val="32"/>
          <w:szCs w:val="32"/>
        </w:rPr>
        <w:t>床位32张。</w:t>
      </w:r>
      <w:r>
        <w:rPr>
          <w:rFonts w:hint="eastAsia" w:ascii="仿宋" w:hAnsi="仿宋" w:eastAsia="仿宋" w:cs="仿宋"/>
          <w:sz w:val="32"/>
          <w:szCs w:val="32"/>
          <w:lang w:val="en-US" w:eastAsia="zh-CN"/>
        </w:rPr>
        <w:t>有独立的影像引导的粒子治疗室和手术室，</w:t>
      </w:r>
      <w:r>
        <w:rPr>
          <w:rFonts w:hint="eastAsia" w:ascii="仿宋" w:hAnsi="仿宋" w:eastAsia="仿宋" w:cs="仿宋"/>
          <w:sz w:val="32"/>
          <w:szCs w:val="32"/>
        </w:rPr>
        <w:t>有麻醉后监测治疗室（PACU），有重症医学科。设置符合规范要求，达到Ⅲ级洁净辅助用房标准，符合放射粒子技术操作场地及无菌操作条件。能够开展有创监测项目和有创呼吸机治疗</w:t>
      </w:r>
      <w:r>
        <w:rPr>
          <w:rFonts w:hint="eastAsia" w:ascii="仿宋" w:hAnsi="仿宋" w:eastAsia="仿宋" w:cs="仿宋"/>
          <w:color w:val="000000"/>
          <w:sz w:val="32"/>
          <w:szCs w:val="32"/>
        </w:rPr>
        <w:t>；具备进行抢救手术意外必要的急救设备和药品,全部技术操作均在心电、呼吸、血压、脉搏、血氧饱和度监测下进行</w:t>
      </w:r>
      <w:r>
        <w:rPr>
          <w:rFonts w:hint="eastAsia" w:ascii="仿宋" w:hAnsi="仿宋" w:eastAsia="仿宋" w:cs="仿宋"/>
          <w:color w:val="000000"/>
          <w:sz w:val="32"/>
          <w:szCs w:val="32"/>
          <w:lang w:eastAsia="zh-CN"/>
        </w:rPr>
        <w:t>，具备符合国家规定的放射性粒子保管、运输设施，并由专人负责，按照国家有关放射防护标准制订防护措施并予实施，</w:t>
      </w:r>
      <w:r>
        <w:rPr>
          <w:rFonts w:hint="eastAsia" w:ascii="仿宋" w:hAnsi="仿宋" w:eastAsia="仿宋" w:cs="仿宋"/>
          <w:color w:val="000000"/>
          <w:sz w:val="32"/>
          <w:szCs w:val="32"/>
          <w:lang w:val="en-US" w:eastAsia="zh-CN"/>
        </w:rPr>
        <w:t>已开展消融和粒子</w:t>
      </w:r>
      <w:r>
        <w:rPr>
          <w:rFonts w:hint="eastAsia" w:ascii="仿宋_GB2312" w:hAnsi="仿宋_GB2312" w:eastAsia="仿宋_GB2312" w:cs="仿宋_GB2312"/>
          <w:sz w:val="32"/>
          <w:szCs w:val="32"/>
          <w:lang w:val="en-US" w:eastAsia="zh-CN"/>
        </w:rPr>
        <w:t>5年以上，开展102例</w:t>
      </w:r>
      <w:r>
        <w:rPr>
          <w:rFonts w:hint="eastAsia" w:ascii="仿宋" w:hAnsi="仿宋" w:eastAsia="仿宋" w:cs="仿宋"/>
          <w:color w:val="000000"/>
          <w:sz w:val="32"/>
          <w:szCs w:val="32"/>
        </w:rPr>
        <w:t>。</w:t>
      </w:r>
    </w:p>
    <w:p w14:paraId="6524B1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四、人员资质</w:t>
      </w:r>
    </w:p>
    <w:p w14:paraId="0D0F5C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z w:val="32"/>
          <w:szCs w:val="32"/>
          <w:lang w:val="en-US" w:eastAsia="zh-CN"/>
        </w:rPr>
        <w:t>1</w:t>
      </w:r>
      <w:r>
        <w:rPr>
          <w:rFonts w:hint="eastAsia" w:ascii="仿宋" w:hAnsi="仿宋" w:eastAsia="仿宋" w:cs="仿宋"/>
          <w:sz w:val="32"/>
          <w:szCs w:val="32"/>
        </w:rPr>
        <w:t>名具有放射性粒子植入治疗技术临床应用能力的本医疗机构注册医师，有经过放射性粒子植入治疗相关知识和技能培训并考核合格的、与开展本技术相适应的其他专业技术人员。</w:t>
      </w:r>
    </w:p>
    <w:p w14:paraId="724A24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开展放射性粒子植入治疗技术的医师取得《医师执业证书》，执业范围为开展本技术相关专业的本医疗机构注册医师。有5年以上开展本技术相关专业临床诊疗工作经验，有</w:t>
      </w:r>
      <w:r>
        <w:rPr>
          <w:rFonts w:hint="eastAsia" w:ascii="仿宋" w:hAnsi="仿宋" w:eastAsia="仿宋" w:cs="仿宋"/>
          <w:sz w:val="32"/>
          <w:szCs w:val="32"/>
          <w:lang w:val="en-US" w:eastAsia="zh-CN"/>
        </w:rPr>
        <w:t>1</w:t>
      </w:r>
      <w:r>
        <w:rPr>
          <w:rFonts w:hint="eastAsia" w:ascii="仿宋" w:hAnsi="仿宋" w:eastAsia="仿宋" w:cs="仿宋"/>
          <w:sz w:val="32"/>
          <w:szCs w:val="32"/>
        </w:rPr>
        <w:t>人具有</w:t>
      </w:r>
      <w:r>
        <w:rPr>
          <w:rFonts w:hint="eastAsia" w:ascii="仿宋" w:hAnsi="仿宋" w:eastAsia="仿宋" w:cs="仿宋"/>
          <w:sz w:val="32"/>
          <w:szCs w:val="32"/>
          <w:lang w:eastAsia="zh-CN"/>
        </w:rPr>
        <w:t>副</w:t>
      </w:r>
      <w:r>
        <w:rPr>
          <w:rFonts w:hint="eastAsia" w:ascii="仿宋" w:hAnsi="仿宋" w:eastAsia="仿宋" w:cs="仿宋"/>
          <w:sz w:val="32"/>
          <w:szCs w:val="32"/>
        </w:rPr>
        <w:t>主任医师专业技术职务任职资格。都经过省级卫生计生行政部门指定的培训基地关于放射性粒子植入治疗相关专业系统培训，具备开展放射性粒子植入治疗技术能力。治疗计划制订人员取得《医师执业证书》，执业范围为开展本技术相关专业的本医疗机构注册医师。熟练掌握放射性粒子植入技术治疗计划系统。具有经过放射性粒子植入治疗相关专业系统培训,满足开展放射性粒子植入治疗技术临床应用所需相关条件的放射物理师等相关人员</w:t>
      </w:r>
      <w:r>
        <w:rPr>
          <w:rFonts w:hint="eastAsia" w:ascii="仿宋" w:hAnsi="仿宋" w:eastAsia="仿宋" w:cs="仿宋"/>
          <w:sz w:val="32"/>
          <w:szCs w:val="32"/>
          <w:lang w:eastAsia="zh-CN"/>
        </w:rPr>
        <w:t>。</w:t>
      </w:r>
    </w:p>
    <w:p w14:paraId="63FDE3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五、技术管理</w:t>
      </w:r>
      <w:r>
        <w:rPr>
          <w:rFonts w:hint="eastAsia" w:ascii="仿宋" w:hAnsi="仿宋" w:eastAsia="仿宋" w:cs="仿宋"/>
          <w:b/>
          <w:color w:val="000000"/>
          <w:sz w:val="32"/>
          <w:szCs w:val="32"/>
          <w:lang w:val="en-US" w:eastAsia="zh-CN"/>
        </w:rPr>
        <w:t>基本</w:t>
      </w:r>
      <w:r>
        <w:rPr>
          <w:rFonts w:hint="eastAsia" w:ascii="仿宋" w:hAnsi="仿宋" w:eastAsia="仿宋" w:cs="仿宋"/>
          <w:b/>
          <w:color w:val="000000"/>
          <w:sz w:val="32"/>
          <w:szCs w:val="32"/>
        </w:rPr>
        <w:t>要求：</w:t>
      </w:r>
    </w:p>
    <w:p w14:paraId="75CF3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严格遵守肿瘤诊疗技术操作规范和诊疗指南，严格掌握放射性粒子治疗技术的适应证和禁忌证。</w:t>
      </w:r>
    </w:p>
    <w:p w14:paraId="39A699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术前根据患者病情，由患者主管医师、实施放射性粒子治疗的医师、放射物理师等相关治疗计划制订人员制订放射性粒子植入治疗计划。全部技术操作均在心电、呼吸、血压、脉搏、血氧饱和度监测下进行。术后按照操作规范要求实施治疗技术质量验证和疗效评估。术后放射剂量验证率8</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p>
    <w:p w14:paraId="4FF7E6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实施肿瘤放射性粒子植入治疗前，应当向患者及其家属告知手术目的、手术风险、术后注意事项、可能发生的并发症及预防措施等，并签署知情同意书。</w:t>
      </w:r>
    </w:p>
    <w:p w14:paraId="40B6EA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建立肿瘤放射性粒子植入治疗后随访制度，并按规定进行随访、记录</w:t>
      </w:r>
      <w:r>
        <w:rPr>
          <w:rFonts w:hint="eastAsia" w:ascii="仿宋" w:hAnsi="仿宋" w:eastAsia="仿宋" w:cs="仿宋"/>
          <w:color w:val="000000"/>
          <w:sz w:val="32"/>
          <w:szCs w:val="32"/>
          <w:lang w:eastAsia="zh-CN"/>
        </w:rPr>
        <w:t>。</w:t>
      </w:r>
    </w:p>
    <w:p w14:paraId="4B4EB5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六、2023年5月-2024年5月放射性粒子植入治疗技术开展情况</w:t>
      </w:r>
    </w:p>
    <w:p w14:paraId="5387AE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我院已成功引进并应用了放射性粒子植入治疗技术‌为众多肿瘤患者提供了有效的治疗手段。‌相关技术适用于中、晚期恶性肿瘤、‌术后复发或残留、‌放疗后复发或残留及不能耐受其他治疗手段的患者。</w:t>
      </w:r>
    </w:p>
    <w:p w14:paraId="2D72CA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截止到2024年5月我院成功为211例恶性肿瘤患者实施了放射性粒子植入术，‌包括肺癌、‌肝癌、‌宫颈癌等多种类型肿瘤。</w:t>
      </w:r>
    </w:p>
    <w:p w14:paraId="2F3854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放射性粒子植入术是一种先进的肿瘤治疗手段，在临床上展现出了卓越的术后效果。经过放射性粒子植入术治疗后，患者往往能感受到明显的改善。首先，该手术具有高度的精准性，能够将放射性粒子准确地植入肿瘤部位，对周围正常组织的损伤极小。这不仅减少了术后并发症的发生几率，还大大提高了患者的生活质量。其次，放射性粒子持续释放低剂量的放射线，能够有效地杀死肿瘤细胞，抑制肿瘤的生长和扩散。许多患者在接受治疗后，肿瘤体积明显缩小，病情得到了有效控制。再者，该手术具有创伤小、恢复快的特点。患者术后恢复时间短，能够更快地回归正常生活和工作。总之，放射性粒子植入术以其精准、高效、安全的特点，为肿瘤患者带来了新的希望，术后效果令人满意。</w:t>
      </w:r>
    </w:p>
    <w:p w14:paraId="347B8A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20" w:firstLineChars="200"/>
        <w:jc w:val="both"/>
        <w:textAlignment w:val="auto"/>
        <w:rPr>
          <w:rFonts w:hint="eastAsia" w:ascii="仿宋" w:hAnsi="仿宋" w:eastAsia="仿宋" w:cs="仿宋"/>
          <w:color w:val="000000"/>
          <w:sz w:val="32"/>
          <w:szCs w:val="32"/>
          <w:lang w:val="en-US" w:eastAsia="zh-CN"/>
        </w:rPr>
      </w:pPr>
      <w:bookmarkStart w:id="0" w:name="_GoBack"/>
      <w:r>
        <w:drawing>
          <wp:anchor distT="0" distB="0" distL="0" distR="0" simplePos="0" relativeHeight="251659264" behindDoc="1" locked="0" layoutInCell="1" allowOverlap="1">
            <wp:simplePos x="0" y="0"/>
            <wp:positionH relativeFrom="column">
              <wp:posOffset>3060065</wp:posOffset>
            </wp:positionH>
            <wp:positionV relativeFrom="paragraph">
              <wp:posOffset>1942465</wp:posOffset>
            </wp:positionV>
            <wp:extent cx="1440180" cy="1440180"/>
            <wp:effectExtent l="0" t="0" r="7620" b="762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1440180" cy="1440180"/>
                    </a:xfrm>
                    <a:prstGeom prst="ellipse">
                      <a:avLst/>
                    </a:prstGeom>
                  </pic:spPr>
                </pic:pic>
              </a:graphicData>
            </a:graphic>
          </wp:anchor>
        </w:drawing>
      </w:r>
      <w:bookmarkEnd w:id="0"/>
      <w:r>
        <w:rPr>
          <w:rFonts w:hint="eastAsia" w:ascii="仿宋" w:hAnsi="仿宋" w:eastAsia="仿宋" w:cs="仿宋"/>
          <w:color w:val="000000"/>
          <w:sz w:val="32"/>
          <w:szCs w:val="32"/>
          <w:lang w:val="en-US" w:eastAsia="zh-CN"/>
        </w:rPr>
        <w:t>随着医疗技术的不断进步和我院团队的持续努力，‌放射性粒子植入治疗技术将在更多领域得到应用和推广。‌我院将继续关注国内外最新研究进展和技术动态，‌引进新技术、‌新设备和新方法，‌提高整体服务水平和治疗效果。‌加强与国内外同行的交流与合作，‌共同推动放射性粒子植入治疗技术的发展和创新。</w:t>
      </w:r>
    </w:p>
    <w:p w14:paraId="7252314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p w14:paraId="23FE8B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Arial" w:eastAsia="仿宋_GB2312" w:cs="Arial"/>
          <w:sz w:val="32"/>
          <w:szCs w:val="32"/>
        </w:rPr>
      </w:pPr>
      <w:r>
        <w:rPr>
          <w:rFonts w:ascii="仿宋_GB2312" w:hAnsi="Arial" w:eastAsia="仿宋_GB2312" w:cs="Arial"/>
          <w:sz w:val="32"/>
          <w:szCs w:val="32"/>
        </w:rPr>
        <w:t xml:space="preserve">                    </w:t>
      </w:r>
      <w:r>
        <w:rPr>
          <w:rFonts w:hint="eastAsia" w:ascii="仿宋_GB2312" w:hAnsi="宋体" w:eastAsia="仿宋_GB2312" w:cs="Arial"/>
          <w:sz w:val="32"/>
          <w:szCs w:val="32"/>
        </w:rPr>
        <w:t>齐齐哈尔医学院附属第一医院</w:t>
      </w:r>
    </w:p>
    <w:p w14:paraId="6E3ECD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sz w:val="36"/>
          <w:szCs w:val="36"/>
        </w:rPr>
      </w:pPr>
      <w:r>
        <w:rPr>
          <w:rFonts w:ascii="仿宋_GB2312" w:hAnsi="Arial" w:eastAsia="仿宋_GB2312" w:cs="Arial"/>
          <w:sz w:val="32"/>
          <w:szCs w:val="32"/>
        </w:rPr>
        <w:t xml:space="preserve">                     </w:t>
      </w:r>
      <w:r>
        <w:rPr>
          <w:rFonts w:hint="eastAsia" w:ascii="仿宋_GB2312" w:hAnsi="Arial" w:eastAsia="仿宋_GB2312" w:cs="Arial"/>
          <w:sz w:val="32"/>
          <w:szCs w:val="32"/>
          <w:lang w:val="en-US" w:eastAsia="zh-CN"/>
        </w:rPr>
        <w:t xml:space="preserve"> </w:t>
      </w:r>
      <w:r>
        <w:rPr>
          <w:rFonts w:ascii="仿宋_GB2312" w:hAnsi="Arial" w:eastAsia="仿宋_GB2312" w:cs="Arial"/>
          <w:sz w:val="32"/>
          <w:szCs w:val="32"/>
        </w:rPr>
        <w:t>20</w:t>
      </w:r>
      <w:r>
        <w:rPr>
          <w:rFonts w:hint="eastAsia" w:ascii="仿宋_GB2312" w:hAnsi="Arial" w:eastAsia="仿宋_GB2312" w:cs="Arial"/>
          <w:sz w:val="32"/>
          <w:szCs w:val="32"/>
          <w:lang w:val="en-US" w:eastAsia="zh-CN"/>
        </w:rPr>
        <w:t>24</w:t>
      </w:r>
      <w:r>
        <w:rPr>
          <w:rFonts w:hint="eastAsia" w:ascii="仿宋_GB2312" w:hAnsi="宋体" w:eastAsia="仿宋_GB2312" w:cs="Arial"/>
          <w:sz w:val="32"/>
          <w:szCs w:val="32"/>
        </w:rPr>
        <w:t>年</w:t>
      </w:r>
      <w:r>
        <w:rPr>
          <w:rFonts w:hint="eastAsia" w:ascii="仿宋_GB2312" w:hAnsi="宋体" w:eastAsia="仿宋_GB2312" w:cs="Arial"/>
          <w:sz w:val="32"/>
          <w:szCs w:val="32"/>
          <w:lang w:val="en-US" w:eastAsia="zh-CN"/>
        </w:rPr>
        <w:t>5</w:t>
      </w:r>
      <w:r>
        <w:rPr>
          <w:rFonts w:hint="eastAsia" w:ascii="仿宋_GB2312" w:hAnsi="宋体" w:eastAsia="仿宋_GB2312" w:cs="Arial"/>
          <w:sz w:val="32"/>
          <w:szCs w:val="32"/>
        </w:rPr>
        <w:t>月</w:t>
      </w:r>
      <w:r>
        <w:rPr>
          <w:rFonts w:hint="eastAsia" w:ascii="仿宋_GB2312" w:hAnsi="宋体" w:eastAsia="仿宋_GB2312" w:cs="Arial"/>
          <w:sz w:val="32"/>
          <w:szCs w:val="32"/>
          <w:lang w:val="en-US" w:eastAsia="zh-CN"/>
        </w:rPr>
        <w:t>26</w:t>
      </w:r>
      <w:r>
        <w:rPr>
          <w:rFonts w:hint="eastAsia" w:ascii="仿宋_GB2312" w:hAnsi="宋体" w:eastAsia="仿宋_GB2312" w:cs="Arial"/>
          <w:sz w:val="32"/>
          <w:szCs w:val="32"/>
        </w:rPr>
        <w:t>日</w:t>
      </w:r>
    </w:p>
    <w:p w14:paraId="0D127DC6">
      <w:pPr>
        <w:jc w:val="both"/>
        <w:rPr>
          <w:rFonts w:hint="eastAsia" w:ascii="宋体" w:hAnsi="宋体" w:cs="黑体"/>
          <w:b/>
          <w:sz w:val="36"/>
          <w:szCs w:val="36"/>
        </w:rPr>
      </w:pPr>
    </w:p>
    <w:p w14:paraId="5676827F">
      <w:pPr>
        <w:jc w:val="center"/>
        <w:rPr>
          <w:rFonts w:ascii="宋体" w:cs="黑体"/>
          <w:b/>
          <w:sz w:val="36"/>
          <w:szCs w:val="36"/>
        </w:rPr>
      </w:pPr>
      <w:r>
        <w:rPr>
          <w:rFonts w:hint="eastAsia" w:ascii="宋体" w:hAnsi="宋体" w:cs="黑体"/>
          <w:b/>
          <w:sz w:val="36"/>
          <w:szCs w:val="36"/>
        </w:rPr>
        <w:t>齐齐哈尔医学院附属第一医院</w:t>
      </w:r>
    </w:p>
    <w:p w14:paraId="12BEFD89">
      <w:pPr>
        <w:jc w:val="center"/>
        <w:rPr>
          <w:rFonts w:hint="eastAsia" w:ascii="宋体" w:hAnsi="宋体" w:cs="黑体"/>
          <w:b/>
          <w:bCs/>
          <w:sz w:val="36"/>
          <w:szCs w:val="36"/>
          <w:lang w:eastAsia="zh-CN"/>
        </w:rPr>
      </w:pPr>
      <w:r>
        <w:rPr>
          <w:rFonts w:hint="eastAsia" w:ascii="宋体" w:hAnsi="宋体" w:cs="黑体"/>
          <w:b/>
          <w:sz w:val="36"/>
          <w:szCs w:val="36"/>
        </w:rPr>
        <w:t>开展</w:t>
      </w:r>
      <w:r>
        <w:rPr>
          <w:rFonts w:hint="eastAsia"/>
          <w:b/>
          <w:sz w:val="36"/>
          <w:szCs w:val="36"/>
        </w:rPr>
        <w:t>肿瘤消融</w:t>
      </w:r>
      <w:r>
        <w:rPr>
          <w:rFonts w:hint="eastAsia" w:ascii="宋体" w:hAnsi="宋体" w:cs="黑体"/>
          <w:b/>
          <w:bCs/>
          <w:sz w:val="36"/>
          <w:szCs w:val="36"/>
        </w:rPr>
        <w:t>治疗技术</w:t>
      </w:r>
      <w:r>
        <w:rPr>
          <w:rFonts w:hint="eastAsia" w:ascii="宋体" w:hAnsi="宋体" w:cs="黑体"/>
          <w:b/>
          <w:bCs/>
          <w:sz w:val="36"/>
          <w:szCs w:val="36"/>
          <w:lang w:eastAsia="zh-CN"/>
        </w:rPr>
        <w:t>临床应用情况</w:t>
      </w:r>
    </w:p>
    <w:p w14:paraId="52058B6A">
      <w:pPr>
        <w:jc w:val="center"/>
        <w:rPr>
          <w:rFonts w:hint="eastAsia" w:ascii="宋体" w:hAnsi="宋体" w:cs="黑体"/>
          <w:b/>
          <w:sz w:val="36"/>
          <w:szCs w:val="36"/>
          <w:lang w:val="en-US" w:eastAsia="zh-CN"/>
        </w:rPr>
      </w:pPr>
      <w:r>
        <w:rPr>
          <w:rFonts w:hint="eastAsia" w:ascii="宋体" w:hAnsi="宋体" w:cs="黑体"/>
          <w:b/>
          <w:sz w:val="36"/>
          <w:szCs w:val="36"/>
          <w:lang w:val="en-US" w:eastAsia="zh-CN"/>
        </w:rPr>
        <w:t>（2023年至2024年）</w:t>
      </w:r>
    </w:p>
    <w:p w14:paraId="760EDE94">
      <w:pPr>
        <w:jc w:val="center"/>
        <w:rPr>
          <w:rFonts w:hint="eastAsia" w:ascii="宋体" w:hAnsi="宋体" w:cs="黑体"/>
          <w:b/>
          <w:bCs/>
          <w:sz w:val="36"/>
          <w:szCs w:val="36"/>
          <w:lang w:eastAsia="zh-CN"/>
        </w:rPr>
      </w:pPr>
    </w:p>
    <w:p w14:paraId="39CE44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color w:val="auto"/>
          <w:sz w:val="32"/>
          <w:szCs w:val="32"/>
          <w:lang w:val="en-US" w:eastAsia="zh-CN"/>
        </w:rPr>
        <w:t>根据</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国家</w:t>
      </w:r>
      <w:r>
        <w:rPr>
          <w:rFonts w:hint="eastAsia" w:ascii="仿宋_GB2312" w:hAnsi="宋体" w:eastAsia="仿宋_GB2312" w:cs="宋体"/>
          <w:sz w:val="32"/>
          <w:szCs w:val="32"/>
        </w:rPr>
        <w:t>限制类医疗技术</w:t>
      </w:r>
      <w:r>
        <w:rPr>
          <w:rFonts w:hint="eastAsia" w:ascii="仿宋_GB2312" w:hAnsi="宋体" w:eastAsia="仿宋_GB2312" w:cs="宋体"/>
          <w:sz w:val="32"/>
          <w:szCs w:val="32"/>
          <w:lang w:val="en-US" w:eastAsia="zh-CN"/>
        </w:rPr>
        <w:t>目录</w:t>
      </w:r>
      <w:r>
        <w:rPr>
          <w:rFonts w:hint="eastAsia" w:ascii="仿宋_GB2312" w:hAnsi="宋体" w:eastAsia="仿宋_GB2312" w:cs="宋体"/>
          <w:sz w:val="32"/>
          <w:szCs w:val="32"/>
        </w:rPr>
        <w:t>（</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版）》</w:t>
      </w:r>
      <w:r>
        <w:rPr>
          <w:rFonts w:hint="eastAsia" w:ascii="仿宋_GB2312" w:hAnsi="宋体" w:eastAsia="仿宋_GB2312" w:cs="宋体"/>
          <w:sz w:val="32"/>
          <w:szCs w:val="32"/>
          <w:lang w:val="en-US" w:eastAsia="zh-CN"/>
        </w:rPr>
        <w:t>和《国家限制类技术临床应用管理规范（2022）版）》</w:t>
      </w:r>
      <w:r>
        <w:rPr>
          <w:rFonts w:hint="eastAsia" w:ascii="仿宋" w:hAnsi="仿宋" w:eastAsia="仿宋" w:cs="仿宋"/>
          <w:color w:val="auto"/>
          <w:sz w:val="32"/>
          <w:szCs w:val="32"/>
        </w:rPr>
        <w:t>在列医疗技术</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rPr>
        <w:t>现对我院</w:t>
      </w:r>
      <w:r>
        <w:rPr>
          <w:rFonts w:hint="eastAsia" w:ascii="仿宋" w:hAnsi="仿宋" w:eastAsia="仿宋" w:cs="仿宋"/>
          <w:b w:val="0"/>
          <w:bCs/>
          <w:sz w:val="32"/>
          <w:szCs w:val="32"/>
        </w:rPr>
        <w:t>开展</w:t>
      </w:r>
      <w:r>
        <w:rPr>
          <w:rFonts w:hint="eastAsia" w:ascii="仿宋" w:hAnsi="仿宋" w:eastAsia="仿宋" w:cs="仿宋"/>
          <w:b w:val="0"/>
          <w:bCs/>
          <w:sz w:val="32"/>
          <w:szCs w:val="32"/>
          <w:lang w:val="en-US" w:eastAsia="zh-CN"/>
        </w:rPr>
        <w:t>肿瘤消融</w:t>
      </w:r>
      <w:r>
        <w:rPr>
          <w:rFonts w:hint="eastAsia" w:ascii="仿宋" w:hAnsi="仿宋" w:eastAsia="仿宋" w:cs="仿宋"/>
          <w:b w:val="0"/>
          <w:bCs/>
          <w:sz w:val="32"/>
          <w:szCs w:val="32"/>
        </w:rPr>
        <w:t>治疗技术</w:t>
      </w:r>
      <w:r>
        <w:rPr>
          <w:rFonts w:hint="eastAsia" w:ascii="仿宋" w:hAnsi="仿宋" w:eastAsia="仿宋" w:cs="仿宋"/>
          <w:color w:val="000000"/>
          <w:sz w:val="32"/>
          <w:szCs w:val="32"/>
        </w:rPr>
        <w:t>提出准入评审，</w:t>
      </w:r>
      <w:r>
        <w:rPr>
          <w:rFonts w:hint="eastAsia" w:ascii="仿宋" w:hAnsi="仿宋" w:eastAsia="仿宋" w:cs="仿宋"/>
          <w:color w:val="auto"/>
          <w:kern w:val="0"/>
          <w:sz w:val="32"/>
          <w:szCs w:val="32"/>
          <w:lang w:val="en-US" w:eastAsia="zh-CN"/>
        </w:rPr>
        <w:t>特作</w:t>
      </w:r>
      <w:r>
        <w:rPr>
          <w:rFonts w:hint="eastAsia" w:ascii="仿宋" w:hAnsi="仿宋" w:eastAsia="仿宋" w:cs="仿宋"/>
          <w:color w:val="auto"/>
          <w:kern w:val="0"/>
          <w:sz w:val="32"/>
          <w:szCs w:val="32"/>
          <w:lang w:eastAsia="zh-CN"/>
        </w:rPr>
        <w:t>自我评估</w:t>
      </w:r>
      <w:r>
        <w:rPr>
          <w:rFonts w:hint="eastAsia" w:ascii="仿宋" w:hAnsi="仿宋" w:eastAsia="仿宋" w:cs="仿宋"/>
          <w:color w:val="000000"/>
          <w:sz w:val="32"/>
          <w:szCs w:val="32"/>
        </w:rPr>
        <w:t>，如下：</w:t>
      </w:r>
    </w:p>
    <w:p w14:paraId="03D4D8B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一、医院周围医疗环境</w:t>
      </w:r>
    </w:p>
    <w:p w14:paraId="6215AB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齐齐哈尔医学院附属第一医院是集医疗、教学、科研、预防、保健于一体的综合性三级甲等医院，</w:t>
      </w:r>
      <w:r>
        <w:rPr>
          <w:rFonts w:hint="eastAsia" w:ascii="仿宋" w:hAnsi="仿宋" w:eastAsia="仿宋" w:cs="仿宋"/>
          <w:bCs/>
          <w:sz w:val="32"/>
          <w:szCs w:val="32"/>
          <w:lang w:val="en-US" w:eastAsia="zh-CN"/>
        </w:rPr>
        <w:t>医院占地面积13.3万平方米，</w:t>
      </w:r>
      <w:r>
        <w:rPr>
          <w:rFonts w:hint="eastAsia" w:ascii="仿宋" w:hAnsi="仿宋" w:eastAsia="仿宋" w:cs="仿宋"/>
          <w:color w:val="000000"/>
          <w:sz w:val="32"/>
          <w:szCs w:val="32"/>
        </w:rPr>
        <w:t>具备由国家食品药品监督管理局批准用于临床治疗的肿瘤消融设备和材料</w:t>
      </w:r>
      <w:r>
        <w:rPr>
          <w:rFonts w:hint="eastAsia" w:ascii="仿宋" w:hAnsi="仿宋" w:eastAsia="仿宋" w:cs="仿宋"/>
          <w:sz w:val="32"/>
          <w:szCs w:val="32"/>
        </w:rPr>
        <w:t>。</w:t>
      </w:r>
    </w:p>
    <w:p w14:paraId="69EE77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二、医院硬件设施</w:t>
      </w:r>
    </w:p>
    <w:p w14:paraId="319357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我院开放床位</w:t>
      </w:r>
      <w:r>
        <w:rPr>
          <w:rFonts w:hint="eastAsia" w:ascii="仿宋" w:hAnsi="仿宋" w:eastAsia="仿宋" w:cs="仿宋"/>
          <w:color w:val="000000"/>
          <w:sz w:val="32"/>
          <w:szCs w:val="32"/>
          <w:lang w:val="en-US" w:eastAsia="zh-CN"/>
        </w:rPr>
        <w:t>800</w:t>
      </w:r>
      <w:r>
        <w:rPr>
          <w:rFonts w:hint="eastAsia" w:ascii="仿宋" w:hAnsi="仿宋" w:eastAsia="仿宋" w:cs="仿宋"/>
          <w:color w:val="000000"/>
          <w:sz w:val="32"/>
          <w:szCs w:val="32"/>
        </w:rPr>
        <w:t>张，具有卫生行政部门核准登记的与开展该技术相关的专业诊疗科目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拥有</w:t>
      </w:r>
      <w:r>
        <w:rPr>
          <w:rFonts w:hint="eastAsia" w:ascii="仿宋" w:hAnsi="仿宋" w:eastAsia="仿宋" w:cs="仿宋"/>
          <w:sz w:val="32"/>
          <w:szCs w:val="32"/>
        </w:rPr>
        <w:t>具有影像引导技术设备（超声、CT、MRI、内镜等）和</w:t>
      </w:r>
      <w:r>
        <w:rPr>
          <w:rFonts w:hint="eastAsia" w:ascii="仿宋" w:hAnsi="仿宋" w:eastAsia="仿宋" w:cs="仿宋"/>
          <w:sz w:val="32"/>
          <w:szCs w:val="32"/>
          <w:lang w:eastAsia="zh-CN"/>
        </w:rPr>
        <w:t>肿瘤消融治疗技术</w:t>
      </w:r>
      <w:r>
        <w:rPr>
          <w:rFonts w:hint="eastAsia" w:ascii="仿宋" w:hAnsi="仿宋" w:eastAsia="仿宋" w:cs="仿宋"/>
          <w:sz w:val="32"/>
          <w:szCs w:val="32"/>
        </w:rPr>
        <w:t>系统</w:t>
      </w:r>
      <w:r>
        <w:rPr>
          <w:rFonts w:hint="eastAsia" w:ascii="仿宋" w:hAnsi="仿宋" w:eastAsia="仿宋" w:cs="仿宋"/>
          <w:sz w:val="32"/>
          <w:szCs w:val="32"/>
          <w:lang w:eastAsia="zh-CN"/>
        </w:rPr>
        <w:t>，</w:t>
      </w:r>
      <w:r>
        <w:rPr>
          <w:rFonts w:hint="eastAsia" w:ascii="仿宋" w:hAnsi="仿宋" w:eastAsia="仿宋" w:cs="仿宋"/>
          <w:sz w:val="32"/>
          <w:szCs w:val="32"/>
        </w:rPr>
        <w:t>全部影像引导技术设备（超声、CT、MRI、DSA）具备医学影像图像管理系统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设置符合规范要求</w:t>
      </w:r>
      <w:r>
        <w:rPr>
          <w:rFonts w:hint="eastAsia" w:ascii="仿宋" w:hAnsi="仿宋" w:eastAsia="仿宋" w:cs="仿宋"/>
          <w:color w:val="000000"/>
          <w:sz w:val="32"/>
          <w:szCs w:val="32"/>
          <w:lang w:eastAsia="zh-CN"/>
        </w:rPr>
        <w:t>，具备与开展该技术相应的手术室用房等设施条件，消毒和无菌条件应符合相应管理标准</w:t>
      </w:r>
      <w:r>
        <w:rPr>
          <w:rFonts w:hint="eastAsia" w:ascii="仿宋" w:hAnsi="仿宋" w:eastAsia="仿宋" w:cs="仿宋"/>
          <w:color w:val="000000"/>
          <w:sz w:val="32"/>
          <w:szCs w:val="32"/>
        </w:rPr>
        <w:t>。</w:t>
      </w:r>
    </w:p>
    <w:p w14:paraId="3C6CCF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三、科室情况</w:t>
      </w:r>
    </w:p>
    <w:p w14:paraId="0D71EC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肿瘤治疗</w:t>
      </w:r>
      <w:r>
        <w:rPr>
          <w:rFonts w:hint="eastAsia" w:ascii="仿宋" w:hAnsi="仿宋" w:eastAsia="仿宋" w:cs="仿宋"/>
          <w:sz w:val="32"/>
          <w:szCs w:val="32"/>
        </w:rPr>
        <w:t>床位32张。有麻醉后监测治疗室（PACU），有重症医学科。设置符合规范要求，达到Ⅲ级洁净辅助用房标准，配备多功能监护仪，在消融过程中能进行心电、呼吸、血压、脉搏、血氧饱和度监测；能够进行心、肺、脑抢救复苏，有氧气通道、麻醉机、除颤器、吸引器等必要的急救设备和药品</w:t>
      </w:r>
      <w:r>
        <w:rPr>
          <w:rFonts w:hint="eastAsia" w:ascii="仿宋" w:hAnsi="仿宋" w:eastAsia="仿宋" w:cs="仿宋"/>
          <w:color w:val="000000"/>
          <w:sz w:val="32"/>
          <w:szCs w:val="32"/>
          <w:lang w:eastAsia="zh-CN"/>
        </w:rPr>
        <w:t>，</w:t>
      </w:r>
      <w:r>
        <w:rPr>
          <w:rFonts w:hint="eastAsia" w:ascii="仿宋_GB2312" w:hAnsi="仿宋_GB2312" w:eastAsia="仿宋_GB2312" w:cs="仿宋_GB2312"/>
          <w:sz w:val="32"/>
          <w:szCs w:val="32"/>
          <w:lang w:val="en-US" w:eastAsia="zh-CN"/>
        </w:rPr>
        <w:t>近5年开展130例</w:t>
      </w:r>
      <w:r>
        <w:rPr>
          <w:rFonts w:hint="eastAsia" w:ascii="仿宋" w:hAnsi="仿宋" w:eastAsia="仿宋" w:cs="仿宋"/>
          <w:color w:val="000000"/>
          <w:sz w:val="32"/>
          <w:szCs w:val="32"/>
        </w:rPr>
        <w:t>。</w:t>
      </w:r>
    </w:p>
    <w:p w14:paraId="71524E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四、人员资质</w:t>
      </w:r>
    </w:p>
    <w:p w14:paraId="7AB34B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z w:val="32"/>
          <w:szCs w:val="32"/>
          <w:lang w:val="en-US" w:eastAsia="zh-CN"/>
        </w:rPr>
        <w:t>3</w:t>
      </w:r>
      <w:r>
        <w:rPr>
          <w:rFonts w:hint="eastAsia" w:ascii="仿宋" w:hAnsi="仿宋" w:eastAsia="仿宋" w:cs="仿宋"/>
          <w:sz w:val="32"/>
          <w:szCs w:val="32"/>
        </w:rPr>
        <w:t>名具有肿瘤消融治疗技术临床应用能力的医师，有经过肿瘤消融治疗相关知识和技术培训并考核合格的其他专业技术人员。</w:t>
      </w:r>
    </w:p>
    <w:p w14:paraId="1F6D46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）肿瘤消融治疗医师。</w:t>
      </w:r>
    </w:p>
    <w:p w14:paraId="05B923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1．取得《医师执业证书》，执业范围为开展本技术应用相关专业的本院在职医师。</w:t>
      </w:r>
    </w:p>
    <w:p w14:paraId="2D7137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2．有3年以上肿瘤诊疗的临床工作经验，具有主治医师及以上专业技术职务任职资格。</w:t>
      </w:r>
    </w:p>
    <w:p w14:paraId="5CF843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3．经过相应的肿瘤消融治疗技术系统培训并考核合格。</w:t>
      </w:r>
    </w:p>
    <w:p w14:paraId="11DF3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（二）其他相关专业技术人员。</w:t>
      </w:r>
    </w:p>
    <w:p w14:paraId="7FFEA0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参与肿瘤消融治疗的其他相关卫生专业技术人员需经过肿瘤消融治疗技术相关专业系统培训并考核合格</w:t>
      </w:r>
      <w:r>
        <w:rPr>
          <w:rFonts w:hint="eastAsia" w:ascii="仿宋" w:hAnsi="仿宋" w:eastAsia="仿宋" w:cs="仿宋"/>
          <w:sz w:val="32"/>
          <w:szCs w:val="32"/>
          <w:lang w:eastAsia="zh-CN"/>
        </w:rPr>
        <w:t>。</w:t>
      </w:r>
    </w:p>
    <w:p w14:paraId="30F8A1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五、技术管理</w:t>
      </w:r>
      <w:r>
        <w:rPr>
          <w:rFonts w:hint="eastAsia" w:ascii="仿宋" w:hAnsi="仿宋" w:eastAsia="仿宋" w:cs="仿宋"/>
          <w:b/>
          <w:color w:val="000000"/>
          <w:sz w:val="32"/>
          <w:szCs w:val="32"/>
          <w:lang w:val="en-US" w:eastAsia="zh-CN"/>
        </w:rPr>
        <w:t>基本</w:t>
      </w:r>
      <w:r>
        <w:rPr>
          <w:rFonts w:hint="eastAsia" w:ascii="仿宋" w:hAnsi="仿宋" w:eastAsia="仿宋" w:cs="仿宋"/>
          <w:b/>
          <w:color w:val="000000"/>
          <w:sz w:val="32"/>
          <w:szCs w:val="32"/>
        </w:rPr>
        <w:t>要求：</w:t>
      </w:r>
    </w:p>
    <w:p w14:paraId="57D3D3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w:t>
      </w:r>
      <w:r>
        <w:rPr>
          <w:rFonts w:hint="eastAsia" w:ascii="仿宋" w:hAnsi="仿宋" w:eastAsia="仿宋" w:cs="仿宋"/>
          <w:color w:val="000000"/>
          <w:sz w:val="32"/>
          <w:szCs w:val="32"/>
        </w:rPr>
        <w:t>严格遵守肿瘤消融治疗技术操作规范和诊疗指南，正确掌握肿瘤消融治疗技术的适应证和禁忌证，根据患者病情、可选择的治疗手段、患者经济承受能力等综合判断，决定治疗方案。</w:t>
      </w:r>
    </w:p>
    <w:p w14:paraId="0EA3EE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由具有相应肿瘤消融治疗技术临床应用能力的本院医师制订，并实施合理的治疗与管理方案。</w:t>
      </w:r>
    </w:p>
    <w:p w14:paraId="2589F2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color w:val="000000"/>
          <w:sz w:val="32"/>
          <w:szCs w:val="32"/>
        </w:rPr>
        <w:t>实施肿瘤消融治疗前，应当向患者和其家属告知治疗目的、治疗风险、治疗后注意事项、可能发生的并发症及预防措施等，并签署知情同意书。</w:t>
      </w:r>
    </w:p>
    <w:p w14:paraId="76E58F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color w:val="000000"/>
          <w:sz w:val="32"/>
          <w:szCs w:val="32"/>
        </w:rPr>
        <w:t>经皮消融过程必须在影像引导和监控下施行，以提高治疗的安全性和可靠性。</w:t>
      </w:r>
    </w:p>
    <w:p w14:paraId="39BBB4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color w:val="000000"/>
          <w:sz w:val="32"/>
          <w:szCs w:val="32"/>
        </w:rPr>
        <w:t>肿瘤消融治疗后应严密观察病情，及时处理可能发生的并发症。</w:t>
      </w:r>
    </w:p>
    <w:p w14:paraId="3DD23E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color w:val="000000"/>
          <w:sz w:val="32"/>
          <w:szCs w:val="32"/>
        </w:rPr>
        <w:t>建立健全肿瘤消融治疗的技术评估及随访制度，并按规定进行记录。</w:t>
      </w:r>
    </w:p>
    <w:p w14:paraId="15EA57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w:t>
      </w:r>
      <w:r>
        <w:rPr>
          <w:rFonts w:hint="eastAsia" w:ascii="仿宋" w:hAnsi="仿宋" w:eastAsia="仿宋" w:cs="仿宋"/>
          <w:color w:val="000000"/>
          <w:sz w:val="32"/>
          <w:szCs w:val="32"/>
        </w:rPr>
        <w:t>医疗机构及医师要按照有关规定，定期接受肿瘤消融治疗技术临床应用能力审核，包括病例选择、治疗成功率、严重并发症、死亡病例、医疗事故发生情况、治疗后病人管理、病人生存质量、随访情况和病历质量等。</w:t>
      </w:r>
    </w:p>
    <w:p w14:paraId="282768C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w:t>
      </w:r>
      <w:r>
        <w:rPr>
          <w:rFonts w:hint="eastAsia" w:ascii="仿宋" w:hAnsi="仿宋" w:eastAsia="仿宋" w:cs="仿宋"/>
          <w:color w:val="000000"/>
          <w:sz w:val="32"/>
          <w:szCs w:val="32"/>
        </w:rPr>
        <w:t>其他管理要求。</w:t>
      </w:r>
    </w:p>
    <w:p w14:paraId="44014F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1．建立仪器设备定期检测、维护制度和使用登记制度。</w:t>
      </w:r>
    </w:p>
    <w:p w14:paraId="7DF73A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2．严格执行国家物价、财务政策，按照规定收费。</w:t>
      </w:r>
    </w:p>
    <w:p w14:paraId="38ECD4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3．不得违规重复使用一次性肿瘤消融治疗器材</w:t>
      </w:r>
      <w:r>
        <w:rPr>
          <w:rFonts w:hint="eastAsia" w:ascii="仿宋" w:hAnsi="仿宋" w:eastAsia="仿宋" w:cs="仿宋"/>
          <w:color w:val="000000"/>
          <w:sz w:val="32"/>
          <w:szCs w:val="32"/>
          <w:lang w:eastAsia="zh-CN"/>
        </w:rPr>
        <w:t>。</w:t>
      </w:r>
    </w:p>
    <w:p w14:paraId="6BCD5D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六、2023年5月-2024年5月限制临床应用的医疗技术开展情况</w:t>
      </w:r>
      <w:r>
        <w:rPr>
          <w:rFonts w:hint="eastAsia" w:ascii="仿宋" w:hAnsi="仿宋" w:eastAsia="仿宋" w:cs="仿宋"/>
          <w:color w:val="000000"/>
          <w:sz w:val="32"/>
          <w:szCs w:val="32"/>
          <w:lang w:val="en-US" w:eastAsia="zh-CN"/>
        </w:rPr>
        <w:t>‌</w:t>
      </w:r>
    </w:p>
    <w:p w14:paraId="181756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我院已成功引进并应用了肿瘤消融治疗技术‌为众多肿瘤患者提供了有效的治疗手段。‌相关技术适用于中晚期恶性肿瘤、‌术后复发或残留、‌放疗后复发或残留及不能耐受其他治疗手段的患者</w:t>
      </w:r>
    </w:p>
    <w:p w14:paraId="7965C4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我院成功为130例恶性肿瘤患者实施了肿瘤消融治疗技术，‌取得了显著的治疗效果。‌</w:t>
      </w:r>
    </w:p>
    <w:p w14:paraId="79CAB5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消融手术作为一种局部治疗手段，无论在肝癌还是肺癌的治疗中都具有重要的地位。它不仅可以有效控制肿瘤的生长和扩散，还可以改善患者的生存质量和预后。对于每位患者来说，选择合适的治疗方式是至关重要的，需要在专业医生的指导下进行综合评估和决策。随着医疗技术的不断进步和我院团队的持续努力，肿瘤消融治疗技术将在更多领域得到应用和推广。‌</w:t>
      </w:r>
    </w:p>
    <w:p w14:paraId="058F8B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我院将继续关注国内外最新研究进展和技术动态，‌引进新技术、‌新设备和新方法，‌提高整体服务水平和治疗效果。‌</w:t>
      </w:r>
    </w:p>
    <w:p w14:paraId="2FBDDF5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加强与国内外同行的交流与合作，‌共同推动肿瘤消融治疗技术的发展和创新。</w:t>
      </w:r>
    </w:p>
    <w:p w14:paraId="38135F0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p w14:paraId="66EFA1A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r>
        <w:drawing>
          <wp:anchor distT="0" distB="0" distL="0" distR="0" simplePos="0" relativeHeight="251660288" behindDoc="1" locked="0" layoutInCell="1" allowOverlap="1">
            <wp:simplePos x="0" y="0"/>
            <wp:positionH relativeFrom="column">
              <wp:posOffset>2997835</wp:posOffset>
            </wp:positionH>
            <wp:positionV relativeFrom="paragraph">
              <wp:posOffset>193675</wp:posOffset>
            </wp:positionV>
            <wp:extent cx="1440180" cy="1440180"/>
            <wp:effectExtent l="0" t="0" r="7620" b="762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1440180" cy="1440180"/>
                    </a:xfrm>
                    <a:prstGeom prst="ellipse">
                      <a:avLst/>
                    </a:prstGeom>
                  </pic:spPr>
                </pic:pic>
              </a:graphicData>
            </a:graphic>
          </wp:anchor>
        </w:drawing>
      </w:r>
    </w:p>
    <w:p w14:paraId="520449A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w:t>
      </w:r>
    </w:p>
    <w:p w14:paraId="01D4E5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齐齐哈尔医学院附属第一医院</w:t>
      </w:r>
    </w:p>
    <w:p w14:paraId="7A610C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2024年5月26日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C463">
    <w:pPr>
      <w:pStyle w:val="4"/>
      <w:framePr w:wrap="around" w:vAnchor="text" w:hAnchor="margin" w:xAlign="outside" w:y="1"/>
      <w:rPr>
        <w:rStyle w:val="10"/>
        <w:rFonts w:ascii="宋体"/>
        <w:sz w:val="24"/>
        <w:szCs w:val="24"/>
      </w:rPr>
    </w:pPr>
    <w:r>
      <w:rPr>
        <w:rStyle w:val="10"/>
        <w:rFonts w:ascii="宋体" w:hAnsi="宋体"/>
        <w:sz w:val="24"/>
        <w:szCs w:val="24"/>
      </w:rPr>
      <w:fldChar w:fldCharType="begin"/>
    </w:r>
    <w:r>
      <w:rPr>
        <w:rStyle w:val="10"/>
        <w:rFonts w:ascii="宋体" w:hAnsi="宋体"/>
        <w:sz w:val="24"/>
        <w:szCs w:val="24"/>
      </w:rPr>
      <w:instrText xml:space="preserve">PAGE  </w:instrText>
    </w:r>
    <w:r>
      <w:rPr>
        <w:rStyle w:val="10"/>
        <w:rFonts w:ascii="宋体" w:hAnsi="宋体"/>
        <w:sz w:val="24"/>
        <w:szCs w:val="24"/>
      </w:rPr>
      <w:fldChar w:fldCharType="separate"/>
    </w:r>
    <w:r>
      <w:rPr>
        <w:rStyle w:val="10"/>
        <w:rFonts w:ascii="宋体" w:hAnsi="宋体"/>
        <w:sz w:val="24"/>
        <w:szCs w:val="24"/>
      </w:rPr>
      <w:t>- 10 -</w:t>
    </w:r>
    <w:r>
      <w:rPr>
        <w:rStyle w:val="10"/>
        <w:rFonts w:ascii="宋体" w:hAnsi="宋体"/>
        <w:sz w:val="24"/>
        <w:szCs w:val="24"/>
      </w:rPr>
      <w:fldChar w:fldCharType="end"/>
    </w:r>
  </w:p>
  <w:p w14:paraId="0FC0C287">
    <w:pPr>
      <w:pStyle w:val="4"/>
      <w:ind w:right="360" w:firstLine="360"/>
      <w:rPr>
        <w:rFonts w:asci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436E">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5A4E78BB">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MzFjMTNlYjgyMWZmZjc1ZWYzOTEzNDMyY2M1OWMifQ=="/>
  </w:docVars>
  <w:rsids>
    <w:rsidRoot w:val="2F9F513D"/>
    <w:rsid w:val="0001267A"/>
    <w:rsid w:val="000128E9"/>
    <w:rsid w:val="00141664"/>
    <w:rsid w:val="00315E62"/>
    <w:rsid w:val="004A6FD5"/>
    <w:rsid w:val="00B30AC5"/>
    <w:rsid w:val="00B34E2B"/>
    <w:rsid w:val="00CB2492"/>
    <w:rsid w:val="00F947D2"/>
    <w:rsid w:val="02272F1A"/>
    <w:rsid w:val="02ED1C6E"/>
    <w:rsid w:val="031E6D32"/>
    <w:rsid w:val="059E2DC8"/>
    <w:rsid w:val="0A3E4216"/>
    <w:rsid w:val="0B5D252B"/>
    <w:rsid w:val="0B8763BA"/>
    <w:rsid w:val="0BC95302"/>
    <w:rsid w:val="10D80401"/>
    <w:rsid w:val="171F3BE0"/>
    <w:rsid w:val="187F415F"/>
    <w:rsid w:val="1A9C6D99"/>
    <w:rsid w:val="1F2962CC"/>
    <w:rsid w:val="1F9A638E"/>
    <w:rsid w:val="1FAD0CAB"/>
    <w:rsid w:val="20A32B9F"/>
    <w:rsid w:val="20D53320"/>
    <w:rsid w:val="22B77C3A"/>
    <w:rsid w:val="246F5882"/>
    <w:rsid w:val="27950717"/>
    <w:rsid w:val="289C18BC"/>
    <w:rsid w:val="2A7B04A7"/>
    <w:rsid w:val="2F9F513D"/>
    <w:rsid w:val="2FB54E2F"/>
    <w:rsid w:val="35B71AE4"/>
    <w:rsid w:val="364041CF"/>
    <w:rsid w:val="37B7C5B9"/>
    <w:rsid w:val="37FD32CC"/>
    <w:rsid w:val="3A714A35"/>
    <w:rsid w:val="3AFF6407"/>
    <w:rsid w:val="3D496467"/>
    <w:rsid w:val="3DFFBCFB"/>
    <w:rsid w:val="49BA2580"/>
    <w:rsid w:val="4CDE0AEE"/>
    <w:rsid w:val="51D07789"/>
    <w:rsid w:val="520420FD"/>
    <w:rsid w:val="55BF6453"/>
    <w:rsid w:val="574A6804"/>
    <w:rsid w:val="57E056B6"/>
    <w:rsid w:val="5B1038C0"/>
    <w:rsid w:val="643E0D2A"/>
    <w:rsid w:val="64E27E64"/>
    <w:rsid w:val="6797758B"/>
    <w:rsid w:val="68277EE8"/>
    <w:rsid w:val="697A2F79"/>
    <w:rsid w:val="6E6715F2"/>
    <w:rsid w:val="6FC82564"/>
    <w:rsid w:val="72B02851"/>
    <w:rsid w:val="72F78D5E"/>
    <w:rsid w:val="76B77DE9"/>
    <w:rsid w:val="76D71AD3"/>
    <w:rsid w:val="77B01219"/>
    <w:rsid w:val="7DF79270"/>
    <w:rsid w:val="EBFE4CFE"/>
    <w:rsid w:val="F19FB45E"/>
    <w:rsid w:val="FFFDA779"/>
    <w:rsid w:val="FFFED1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240" w:lineRule="auto"/>
    </w:pPr>
    <w:rPr>
      <w:rFonts w:ascii="Times New Roman" w:hAnsi="Times New Roman"/>
      <w:sz w:val="28"/>
      <w:szCs w:val="24"/>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locked/>
    <w:uiPriority w:val="0"/>
    <w:rPr>
      <w:b/>
    </w:rPr>
  </w:style>
  <w:style w:type="character" w:styleId="10">
    <w:name w:val="page number"/>
    <w:basedOn w:val="8"/>
    <w:qFormat/>
    <w:uiPriority w:val="99"/>
    <w:rPr>
      <w:rFonts w:cs="Times New Roman"/>
    </w:rPr>
  </w:style>
  <w:style w:type="character" w:customStyle="1" w:styleId="11">
    <w:name w:val="Footer Char"/>
    <w:basedOn w:val="8"/>
    <w:link w:val="4"/>
    <w:semiHidden/>
    <w:qFormat/>
    <w:uiPriority w:val="99"/>
    <w:rPr>
      <w:sz w:val="18"/>
      <w:szCs w:val="18"/>
    </w:rPr>
  </w:style>
  <w:style w:type="character" w:customStyle="1" w:styleId="12">
    <w:name w:val="Header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3525</Words>
  <Characters>3619</Characters>
  <Lines>0</Lines>
  <Paragraphs>0</Paragraphs>
  <TotalTime>18</TotalTime>
  <ScaleCrop>false</ScaleCrop>
  <LinksUpToDate>false</LinksUpToDate>
  <CharactersWithSpaces>3705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2018-10-21T23:14:00Z</dcterms:created>
  <dc:creator>Administrator</dc:creator>
  <cp:lastModifiedBy>张羽镝</cp:lastModifiedBy>
  <cp:lastPrinted>2024-09-10T06:48:42Z</cp:lastPrinted>
  <dcterms:modified xsi:type="dcterms:W3CDTF">2024-09-10T07:02:19Z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14EEF6242FE7DFFAD1F1CB664ECA6955_43</vt:lpwstr>
  </property>
</Properties>
</file>